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ED6" w:rsidRPr="00880E36" w:rsidRDefault="00D94ED6" w:rsidP="00D94ED6">
      <w:pPr>
        <w:pStyle w:val="lfej"/>
        <w:jc w:val="center"/>
      </w:pPr>
      <w:r w:rsidRPr="00880E36">
        <w:rPr>
          <w:noProof/>
        </w:rPr>
        <w:drawing>
          <wp:inline distT="0" distB="0" distL="0" distR="0">
            <wp:extent cx="5756910" cy="715645"/>
            <wp:effectExtent l="0" t="0" r="0" b="825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7508" w:rsidRPr="00880E36" w:rsidRDefault="00687508" w:rsidP="00D94ED6">
      <w:pPr>
        <w:pStyle w:val="lfej"/>
        <w:tabs>
          <w:tab w:val="clear" w:pos="9072"/>
          <w:tab w:val="right" w:pos="10204"/>
        </w:tabs>
        <w:jc w:val="center"/>
        <w:rPr>
          <w:rFonts w:cs="Calibri"/>
          <w:caps/>
        </w:rPr>
      </w:pPr>
      <w:r w:rsidRPr="00880E36">
        <w:rPr>
          <w:rFonts w:cs="Calibri"/>
          <w:caps/>
        </w:rPr>
        <w:t>BÉKÉS MEGYEI</w:t>
      </w:r>
    </w:p>
    <w:p w:rsidR="00687508" w:rsidRPr="00880E36" w:rsidRDefault="00687508" w:rsidP="00D94ED6">
      <w:pPr>
        <w:pStyle w:val="lfej"/>
        <w:tabs>
          <w:tab w:val="clear" w:pos="9072"/>
          <w:tab w:val="right" w:pos="10204"/>
        </w:tabs>
        <w:jc w:val="center"/>
        <w:rPr>
          <w:rFonts w:cs="Calibri"/>
          <w:caps/>
        </w:rPr>
      </w:pPr>
      <w:r w:rsidRPr="00880E36">
        <w:rPr>
          <w:rFonts w:cs="Calibri"/>
          <w:caps/>
        </w:rPr>
        <w:t>KATASZTRÓFAVÉDELMI IGAZGATÓSÁG</w:t>
      </w:r>
    </w:p>
    <w:p w:rsidR="00D94ED6" w:rsidRPr="00880E36" w:rsidRDefault="00687508" w:rsidP="00D94ED6">
      <w:pPr>
        <w:pStyle w:val="lfej"/>
        <w:tabs>
          <w:tab w:val="clear" w:pos="9072"/>
          <w:tab w:val="right" w:pos="10204"/>
        </w:tabs>
        <w:jc w:val="center"/>
        <w:rPr>
          <w:rFonts w:cs="Calibri"/>
          <w:caps/>
        </w:rPr>
      </w:pPr>
      <w:r w:rsidRPr="00880E36">
        <w:rPr>
          <w:rFonts w:cs="Calibri"/>
          <w:caps/>
        </w:rPr>
        <w:t>OROSHÁZI</w:t>
      </w:r>
      <w:r w:rsidR="00D94ED6" w:rsidRPr="00880E36">
        <w:rPr>
          <w:rFonts w:cs="Calibri"/>
          <w:caps/>
        </w:rPr>
        <w:t xml:space="preserve"> katasztrófavédelmi kirendeltség</w:t>
      </w:r>
    </w:p>
    <w:p w:rsidR="00D94ED6" w:rsidRPr="00880E36" w:rsidRDefault="00687508" w:rsidP="00D94ED6">
      <w:pPr>
        <w:pStyle w:val="lfej"/>
        <w:tabs>
          <w:tab w:val="clear" w:pos="9072"/>
          <w:tab w:val="right" w:pos="10204"/>
        </w:tabs>
        <w:jc w:val="center"/>
        <w:rPr>
          <w:rFonts w:cs="Calibri"/>
          <w:caps/>
        </w:rPr>
      </w:pPr>
      <w:r w:rsidRPr="00880E36">
        <w:rPr>
          <w:rFonts w:cs="Calibri"/>
          <w:caps/>
        </w:rPr>
        <w:t>OROSHÁZI</w:t>
      </w:r>
      <w:r w:rsidR="00D94ED6" w:rsidRPr="00880E36">
        <w:rPr>
          <w:rFonts w:cs="Calibri"/>
          <w:caps/>
        </w:rPr>
        <w:t xml:space="preserve"> hivatásos tűzoltó-parancsnokság</w:t>
      </w:r>
    </w:p>
    <w:p w:rsidR="00D94ED6" w:rsidRPr="00880E36" w:rsidRDefault="00D94ED6" w:rsidP="00D94ED6">
      <w:pPr>
        <w:tabs>
          <w:tab w:val="right" w:pos="10204"/>
        </w:tabs>
        <w:jc w:val="both"/>
        <w:rPr>
          <w:b/>
          <w:caps/>
        </w:rPr>
      </w:pPr>
    </w:p>
    <w:p w:rsidR="00D94ED6" w:rsidRPr="00880E36" w:rsidRDefault="00D94ED6" w:rsidP="00D94ED6">
      <w:pPr>
        <w:tabs>
          <w:tab w:val="right" w:pos="8460"/>
        </w:tabs>
        <w:jc w:val="both"/>
        <w:rPr>
          <w:b/>
          <w:caps/>
        </w:rPr>
      </w:pPr>
    </w:p>
    <w:p w:rsidR="00D94ED6" w:rsidRPr="00880E36" w:rsidRDefault="00D94ED6" w:rsidP="00D94ED6">
      <w:pPr>
        <w:tabs>
          <w:tab w:val="right" w:pos="8460"/>
        </w:tabs>
        <w:jc w:val="both"/>
        <w:rPr>
          <w:b/>
          <w:caps/>
        </w:rPr>
      </w:pPr>
    </w:p>
    <w:p w:rsidR="00D94ED6" w:rsidRPr="00880E36" w:rsidRDefault="00D94ED6" w:rsidP="00D94ED6">
      <w:pPr>
        <w:tabs>
          <w:tab w:val="right" w:pos="10204"/>
        </w:tabs>
        <w:jc w:val="both"/>
        <w:rPr>
          <w:b/>
          <w:caps/>
        </w:rPr>
      </w:pPr>
      <w:r w:rsidRPr="00880E36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959733</wp:posOffset>
            </wp:positionH>
            <wp:positionV relativeFrom="paragraph">
              <wp:posOffset>136525</wp:posOffset>
            </wp:positionV>
            <wp:extent cx="3828415" cy="4304030"/>
            <wp:effectExtent l="0" t="0" r="635" b="1270"/>
            <wp:wrapNone/>
            <wp:docPr id="2" name="Kép 2" descr="katasztrofavedelem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atasztrofavedelem_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40000" contrast="-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8415" cy="430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4ED6" w:rsidRPr="00880E36" w:rsidRDefault="00D94ED6" w:rsidP="00D94ED6">
      <w:pPr>
        <w:tabs>
          <w:tab w:val="right" w:pos="8460"/>
        </w:tabs>
        <w:jc w:val="both"/>
        <w:rPr>
          <w:b/>
          <w:caps/>
        </w:rPr>
      </w:pPr>
    </w:p>
    <w:p w:rsidR="00D94ED6" w:rsidRPr="00880E36" w:rsidRDefault="00D94ED6" w:rsidP="00D94ED6">
      <w:pPr>
        <w:tabs>
          <w:tab w:val="right" w:pos="8460"/>
        </w:tabs>
        <w:jc w:val="both"/>
        <w:rPr>
          <w:b/>
          <w:caps/>
        </w:rPr>
      </w:pPr>
    </w:p>
    <w:p w:rsidR="00D94ED6" w:rsidRPr="00880E36" w:rsidRDefault="00D94ED6" w:rsidP="00D94ED6">
      <w:pPr>
        <w:tabs>
          <w:tab w:val="right" w:pos="8460"/>
        </w:tabs>
        <w:jc w:val="both"/>
        <w:rPr>
          <w:b/>
          <w:caps/>
        </w:rPr>
      </w:pPr>
    </w:p>
    <w:p w:rsidR="00D94ED6" w:rsidRPr="00880E36" w:rsidRDefault="00D94ED6" w:rsidP="00D94ED6">
      <w:pPr>
        <w:tabs>
          <w:tab w:val="right" w:pos="8460"/>
        </w:tabs>
        <w:jc w:val="both"/>
        <w:rPr>
          <w:b/>
          <w:caps/>
        </w:rPr>
      </w:pPr>
    </w:p>
    <w:p w:rsidR="00D94ED6" w:rsidRPr="00880E36" w:rsidRDefault="00D94ED6" w:rsidP="00D94ED6">
      <w:pPr>
        <w:tabs>
          <w:tab w:val="right" w:pos="8460"/>
        </w:tabs>
        <w:jc w:val="both"/>
        <w:rPr>
          <w:b/>
          <w:caps/>
        </w:rPr>
      </w:pPr>
    </w:p>
    <w:p w:rsidR="00D94ED6" w:rsidRPr="00880E36" w:rsidRDefault="00D94ED6" w:rsidP="00D94ED6">
      <w:pPr>
        <w:tabs>
          <w:tab w:val="right" w:pos="8460"/>
        </w:tabs>
        <w:jc w:val="both"/>
        <w:rPr>
          <w:b/>
          <w:caps/>
        </w:rPr>
      </w:pPr>
    </w:p>
    <w:p w:rsidR="00D94ED6" w:rsidRPr="00880E36" w:rsidRDefault="00D94ED6" w:rsidP="00D94ED6">
      <w:pPr>
        <w:tabs>
          <w:tab w:val="right" w:pos="8460"/>
        </w:tabs>
        <w:jc w:val="both"/>
        <w:rPr>
          <w:b/>
          <w:caps/>
        </w:rPr>
      </w:pPr>
    </w:p>
    <w:p w:rsidR="00D94ED6" w:rsidRPr="00880E36" w:rsidRDefault="00D94ED6" w:rsidP="00D94ED6">
      <w:pPr>
        <w:tabs>
          <w:tab w:val="right" w:pos="8460"/>
        </w:tabs>
        <w:jc w:val="both"/>
        <w:rPr>
          <w:b/>
          <w:caps/>
        </w:rPr>
      </w:pPr>
    </w:p>
    <w:p w:rsidR="00D94ED6" w:rsidRPr="00880E36" w:rsidRDefault="00D94ED6" w:rsidP="00D94ED6">
      <w:pPr>
        <w:tabs>
          <w:tab w:val="right" w:pos="8460"/>
        </w:tabs>
        <w:jc w:val="center"/>
        <w:rPr>
          <w:b/>
          <w:caps/>
        </w:rPr>
      </w:pPr>
      <w:r w:rsidRPr="00880E36">
        <w:rPr>
          <w:b/>
          <w:caps/>
        </w:rPr>
        <w:t>BESZÁMOLÓ</w:t>
      </w:r>
    </w:p>
    <w:p w:rsidR="00D94ED6" w:rsidRPr="00880E36" w:rsidRDefault="00D94ED6" w:rsidP="00D94ED6">
      <w:pPr>
        <w:tabs>
          <w:tab w:val="right" w:pos="8460"/>
        </w:tabs>
        <w:jc w:val="center"/>
        <w:rPr>
          <w:b/>
          <w:caps/>
        </w:rPr>
      </w:pPr>
    </w:p>
    <w:p w:rsidR="00D94ED6" w:rsidRPr="00880E36" w:rsidRDefault="00D94ED6" w:rsidP="00D94ED6">
      <w:pPr>
        <w:tabs>
          <w:tab w:val="right" w:pos="8460"/>
        </w:tabs>
        <w:jc w:val="center"/>
        <w:rPr>
          <w:b/>
          <w:caps/>
        </w:rPr>
      </w:pPr>
      <w:r w:rsidRPr="00880E36">
        <w:rPr>
          <w:b/>
          <w:caps/>
        </w:rPr>
        <w:t xml:space="preserve">A </w:t>
      </w:r>
      <w:r w:rsidR="00687508" w:rsidRPr="00880E36">
        <w:rPr>
          <w:b/>
          <w:caps/>
        </w:rPr>
        <w:t>OROSHÁZI</w:t>
      </w:r>
      <w:r w:rsidRPr="00880E36">
        <w:rPr>
          <w:b/>
          <w:caps/>
        </w:rPr>
        <w:t xml:space="preserve"> hivatásos tűzoltóparancsnokság</w:t>
      </w:r>
    </w:p>
    <w:p w:rsidR="00D94ED6" w:rsidRPr="00880E36" w:rsidRDefault="00D94ED6" w:rsidP="00D94ED6">
      <w:pPr>
        <w:tabs>
          <w:tab w:val="right" w:pos="8460"/>
        </w:tabs>
        <w:jc w:val="center"/>
        <w:rPr>
          <w:b/>
          <w:caps/>
        </w:rPr>
      </w:pPr>
    </w:p>
    <w:p w:rsidR="00D94ED6" w:rsidRPr="00880E36" w:rsidRDefault="00D94ED6" w:rsidP="00D94ED6">
      <w:pPr>
        <w:tabs>
          <w:tab w:val="right" w:pos="8460"/>
        </w:tabs>
        <w:jc w:val="center"/>
        <w:rPr>
          <w:b/>
          <w:caps/>
        </w:rPr>
      </w:pPr>
      <w:r w:rsidRPr="00880E36">
        <w:rPr>
          <w:b/>
          <w:caps/>
        </w:rPr>
        <w:t>2019. évi tevkenységéről</w:t>
      </w:r>
    </w:p>
    <w:p w:rsidR="00D94ED6" w:rsidRPr="00880E36" w:rsidRDefault="00D94ED6" w:rsidP="00D94ED6">
      <w:pPr>
        <w:tabs>
          <w:tab w:val="right" w:pos="8460"/>
        </w:tabs>
        <w:jc w:val="both"/>
        <w:rPr>
          <w:b/>
          <w:caps/>
        </w:rPr>
      </w:pPr>
    </w:p>
    <w:p w:rsidR="00D94ED6" w:rsidRPr="00880E36" w:rsidRDefault="00D94ED6" w:rsidP="00D94ED6">
      <w:pPr>
        <w:tabs>
          <w:tab w:val="right" w:pos="8460"/>
        </w:tabs>
        <w:jc w:val="both"/>
        <w:rPr>
          <w:b/>
          <w:caps/>
        </w:rPr>
      </w:pPr>
    </w:p>
    <w:p w:rsidR="00D94ED6" w:rsidRPr="00880E36" w:rsidRDefault="00D94ED6" w:rsidP="00D94ED6">
      <w:pPr>
        <w:tabs>
          <w:tab w:val="right" w:pos="8460"/>
        </w:tabs>
        <w:jc w:val="both"/>
        <w:rPr>
          <w:b/>
          <w:caps/>
        </w:rPr>
      </w:pPr>
    </w:p>
    <w:p w:rsidR="00D94ED6" w:rsidRPr="00880E36" w:rsidRDefault="00D94ED6" w:rsidP="00D94ED6">
      <w:pPr>
        <w:tabs>
          <w:tab w:val="right" w:pos="8460"/>
        </w:tabs>
        <w:jc w:val="both"/>
        <w:rPr>
          <w:b/>
          <w:caps/>
        </w:rPr>
      </w:pPr>
    </w:p>
    <w:p w:rsidR="00D94ED6" w:rsidRPr="00880E36" w:rsidRDefault="00D94ED6" w:rsidP="00D94ED6">
      <w:pPr>
        <w:tabs>
          <w:tab w:val="right" w:pos="8460"/>
        </w:tabs>
        <w:jc w:val="both"/>
        <w:rPr>
          <w:b/>
          <w:caps/>
        </w:rPr>
      </w:pPr>
    </w:p>
    <w:p w:rsidR="00D94ED6" w:rsidRPr="00880E36" w:rsidRDefault="00D94ED6" w:rsidP="00D94ED6">
      <w:pPr>
        <w:tabs>
          <w:tab w:val="right" w:pos="8460"/>
        </w:tabs>
        <w:jc w:val="both"/>
        <w:rPr>
          <w:b/>
          <w:caps/>
        </w:rPr>
      </w:pPr>
    </w:p>
    <w:p w:rsidR="00D94ED6" w:rsidRPr="00880E36" w:rsidRDefault="00D94ED6" w:rsidP="00D94ED6">
      <w:pPr>
        <w:tabs>
          <w:tab w:val="right" w:pos="8460"/>
        </w:tabs>
        <w:jc w:val="both"/>
        <w:rPr>
          <w:b/>
          <w:caps/>
        </w:rPr>
      </w:pPr>
    </w:p>
    <w:p w:rsidR="00D94ED6" w:rsidRPr="00880E36" w:rsidRDefault="00D94ED6" w:rsidP="00D94ED6">
      <w:pPr>
        <w:tabs>
          <w:tab w:val="right" w:pos="8460"/>
        </w:tabs>
        <w:jc w:val="both"/>
        <w:rPr>
          <w:b/>
          <w:caps/>
        </w:rPr>
      </w:pPr>
    </w:p>
    <w:p w:rsidR="00D94ED6" w:rsidRPr="00880E36" w:rsidRDefault="00D94ED6" w:rsidP="00D94ED6">
      <w:pPr>
        <w:tabs>
          <w:tab w:val="right" w:pos="8460"/>
        </w:tabs>
        <w:jc w:val="both"/>
        <w:rPr>
          <w:b/>
          <w:caps/>
        </w:rPr>
      </w:pPr>
    </w:p>
    <w:p w:rsidR="00D94ED6" w:rsidRPr="00880E36" w:rsidRDefault="00D94ED6" w:rsidP="00D94ED6">
      <w:pPr>
        <w:tabs>
          <w:tab w:val="right" w:pos="8460"/>
        </w:tabs>
        <w:jc w:val="both"/>
        <w:rPr>
          <w:b/>
          <w:caps/>
        </w:rPr>
      </w:pPr>
    </w:p>
    <w:p w:rsidR="00D94ED6" w:rsidRPr="00880E36" w:rsidRDefault="00D94ED6" w:rsidP="00D94ED6">
      <w:pPr>
        <w:tabs>
          <w:tab w:val="right" w:pos="8460"/>
        </w:tabs>
        <w:jc w:val="both"/>
        <w:rPr>
          <w:b/>
          <w:caps/>
        </w:rPr>
      </w:pPr>
    </w:p>
    <w:p w:rsidR="00D94ED6" w:rsidRPr="00880E36" w:rsidRDefault="00D94ED6" w:rsidP="00D94ED6">
      <w:pPr>
        <w:tabs>
          <w:tab w:val="right" w:pos="8460"/>
        </w:tabs>
        <w:jc w:val="both"/>
        <w:rPr>
          <w:b/>
          <w:caps/>
        </w:rPr>
      </w:pPr>
    </w:p>
    <w:p w:rsidR="00D94ED6" w:rsidRPr="00880E36" w:rsidRDefault="00D94ED6" w:rsidP="00D94ED6">
      <w:pPr>
        <w:tabs>
          <w:tab w:val="right" w:pos="8460"/>
        </w:tabs>
        <w:jc w:val="both"/>
        <w:rPr>
          <w:b/>
          <w:caps/>
        </w:rPr>
      </w:pPr>
    </w:p>
    <w:p w:rsidR="00D94ED6" w:rsidRPr="00880E36" w:rsidRDefault="00D94ED6" w:rsidP="00D94ED6">
      <w:pPr>
        <w:tabs>
          <w:tab w:val="right" w:pos="8460"/>
        </w:tabs>
        <w:jc w:val="both"/>
        <w:rPr>
          <w:b/>
          <w:caps/>
        </w:rPr>
      </w:pPr>
    </w:p>
    <w:p w:rsidR="00D94ED6" w:rsidRPr="00880E36" w:rsidRDefault="00D94ED6" w:rsidP="00D94ED6">
      <w:pPr>
        <w:tabs>
          <w:tab w:val="right" w:pos="8460"/>
        </w:tabs>
        <w:jc w:val="both"/>
        <w:rPr>
          <w:b/>
          <w:caps/>
        </w:rPr>
      </w:pPr>
    </w:p>
    <w:p w:rsidR="00D94ED6" w:rsidRPr="00880E36" w:rsidRDefault="00D94ED6" w:rsidP="00D94ED6">
      <w:pPr>
        <w:tabs>
          <w:tab w:val="right" w:pos="8460"/>
        </w:tabs>
        <w:jc w:val="both"/>
        <w:rPr>
          <w:b/>
          <w:caps/>
        </w:rPr>
      </w:pPr>
    </w:p>
    <w:p w:rsidR="00D94ED6" w:rsidRPr="00880E36" w:rsidRDefault="00D94ED6" w:rsidP="00D94ED6">
      <w:pPr>
        <w:tabs>
          <w:tab w:val="right" w:pos="8460"/>
        </w:tabs>
        <w:jc w:val="both"/>
        <w:rPr>
          <w:b/>
          <w:caps/>
        </w:rPr>
      </w:pPr>
    </w:p>
    <w:p w:rsidR="00D94ED6" w:rsidRPr="00880E36" w:rsidRDefault="00D94ED6" w:rsidP="00D94ED6">
      <w:pPr>
        <w:tabs>
          <w:tab w:val="right" w:pos="8460"/>
        </w:tabs>
        <w:jc w:val="both"/>
        <w:rPr>
          <w:b/>
          <w:caps/>
        </w:rPr>
      </w:pPr>
    </w:p>
    <w:p w:rsidR="00D94ED6" w:rsidRPr="00880E36" w:rsidRDefault="00D94ED6" w:rsidP="00D94ED6">
      <w:pPr>
        <w:tabs>
          <w:tab w:val="right" w:pos="8460"/>
        </w:tabs>
        <w:jc w:val="both"/>
        <w:rPr>
          <w:b/>
          <w:caps/>
        </w:rPr>
      </w:pPr>
    </w:p>
    <w:p w:rsidR="00D94ED6" w:rsidRPr="00880E36" w:rsidRDefault="00D94ED6" w:rsidP="00D94ED6">
      <w:pPr>
        <w:tabs>
          <w:tab w:val="center" w:pos="6663"/>
        </w:tabs>
        <w:rPr>
          <w:b/>
        </w:rPr>
      </w:pPr>
      <w:r w:rsidRPr="00880E36">
        <w:rPr>
          <w:b/>
        </w:rPr>
        <w:tab/>
      </w:r>
      <w:r w:rsidR="00687508" w:rsidRPr="00880E36">
        <w:rPr>
          <w:b/>
        </w:rPr>
        <w:t>Bohák János tűzoltó alezredes</w:t>
      </w:r>
    </w:p>
    <w:p w:rsidR="00687508" w:rsidRPr="00880E36" w:rsidRDefault="00687508" w:rsidP="00687508">
      <w:pPr>
        <w:tabs>
          <w:tab w:val="center" w:pos="6663"/>
        </w:tabs>
        <w:rPr>
          <w:b/>
        </w:rPr>
      </w:pPr>
      <w:r w:rsidRPr="00880E36">
        <w:rPr>
          <w:b/>
        </w:rPr>
        <w:tab/>
      </w:r>
      <w:proofErr w:type="gramStart"/>
      <w:r w:rsidRPr="00880E36">
        <w:rPr>
          <w:b/>
        </w:rPr>
        <w:t>tűzoltósági</w:t>
      </w:r>
      <w:proofErr w:type="gramEnd"/>
      <w:r w:rsidRPr="00880E36">
        <w:rPr>
          <w:b/>
        </w:rPr>
        <w:t xml:space="preserve"> tanácsos</w:t>
      </w:r>
    </w:p>
    <w:p w:rsidR="00687508" w:rsidRPr="00880E36" w:rsidRDefault="00687508" w:rsidP="00687508">
      <w:pPr>
        <w:tabs>
          <w:tab w:val="center" w:pos="6663"/>
        </w:tabs>
        <w:rPr>
          <w:b/>
        </w:rPr>
      </w:pPr>
      <w:r w:rsidRPr="00880E36">
        <w:rPr>
          <w:b/>
        </w:rPr>
        <w:tab/>
      </w:r>
      <w:proofErr w:type="gramStart"/>
      <w:r w:rsidR="00D94ED6" w:rsidRPr="00880E36">
        <w:rPr>
          <w:b/>
        </w:rPr>
        <w:t>tűzoltóparancsnok</w:t>
      </w:r>
      <w:proofErr w:type="gramEnd"/>
    </w:p>
    <w:p w:rsidR="00687508" w:rsidRPr="00880E36" w:rsidRDefault="00687508">
      <w:pPr>
        <w:spacing w:after="160" w:line="259" w:lineRule="auto"/>
        <w:rPr>
          <w:b/>
        </w:rPr>
      </w:pPr>
      <w:r w:rsidRPr="00880E36">
        <w:rPr>
          <w:b/>
        </w:rPr>
        <w:br w:type="page"/>
      </w:r>
    </w:p>
    <w:p w:rsidR="00D94ED6" w:rsidRPr="00880E36" w:rsidRDefault="00052978" w:rsidP="0037325C">
      <w:pPr>
        <w:widowControl w:val="0"/>
        <w:tabs>
          <w:tab w:val="center" w:pos="6663"/>
        </w:tabs>
        <w:spacing w:line="276" w:lineRule="auto"/>
        <w:jc w:val="both"/>
        <w:rPr>
          <w:b/>
        </w:rPr>
      </w:pPr>
      <w:r w:rsidRPr="00880E36">
        <w:rPr>
          <w:b/>
        </w:rPr>
        <w:lastRenderedPageBreak/>
        <w:t>I. Bevezetés</w:t>
      </w:r>
    </w:p>
    <w:p w:rsidR="00C32F31" w:rsidRPr="00880E36" w:rsidRDefault="00C32F31" w:rsidP="0037325C">
      <w:pPr>
        <w:widowControl w:val="0"/>
        <w:tabs>
          <w:tab w:val="center" w:pos="6663"/>
        </w:tabs>
        <w:spacing w:line="276" w:lineRule="auto"/>
        <w:jc w:val="both"/>
      </w:pPr>
    </w:p>
    <w:p w:rsidR="00052978" w:rsidRPr="00880E36" w:rsidRDefault="00C32F31" w:rsidP="00BC6AB6">
      <w:pPr>
        <w:widowControl w:val="0"/>
        <w:tabs>
          <w:tab w:val="center" w:pos="6663"/>
        </w:tabs>
        <w:spacing w:line="276" w:lineRule="auto"/>
        <w:jc w:val="both"/>
        <w:rPr>
          <w:lang w:eastAsia="ar-SA"/>
        </w:rPr>
      </w:pPr>
      <w:r w:rsidRPr="00880E36">
        <w:rPr>
          <w:lang w:eastAsia="ar-SA"/>
        </w:rPr>
        <w:t>A</w:t>
      </w:r>
      <w:r w:rsidR="00687508" w:rsidRPr="00880E36">
        <w:rPr>
          <w:lang w:eastAsia="ar-SA"/>
        </w:rPr>
        <w:t>z</w:t>
      </w:r>
      <w:r w:rsidRPr="00880E36">
        <w:rPr>
          <w:lang w:eastAsia="ar-SA"/>
        </w:rPr>
        <w:t xml:space="preserve"> </w:t>
      </w:r>
      <w:r w:rsidR="00687508" w:rsidRPr="00880E36">
        <w:rPr>
          <w:lang w:eastAsia="ar-SA"/>
        </w:rPr>
        <w:t>Orosházi</w:t>
      </w:r>
      <w:r w:rsidRPr="00880E36">
        <w:rPr>
          <w:lang w:eastAsia="ar-SA"/>
        </w:rPr>
        <w:t xml:space="preserve"> Hivatásos Tűzoltóparancsnokság (továbbiakban: tűzoltóság) 2019-ben a tervezett feladatait az érvényben levő szabályozóknak megfelelően hajtotta</w:t>
      </w:r>
      <w:r w:rsidR="00052978" w:rsidRPr="00880E36">
        <w:rPr>
          <w:lang w:eastAsia="ar-SA"/>
        </w:rPr>
        <w:t xml:space="preserve"> végre</w:t>
      </w:r>
      <w:r w:rsidRPr="00880E36">
        <w:rPr>
          <w:lang w:eastAsia="ar-SA"/>
        </w:rPr>
        <w:t>. A tűzoltóság célkitűzéseinek megfogalmazásakor elsődleges feladat volt a Békés Megyei Katasztrófavédelmi Igazgatóság</w:t>
      </w:r>
      <w:r w:rsidR="00052978" w:rsidRPr="00880E36">
        <w:rPr>
          <w:lang w:eastAsia="ar-SA"/>
        </w:rPr>
        <w:t xml:space="preserve"> (a továbbiakban: igazgatóság)</w:t>
      </w:r>
      <w:r w:rsidRPr="00880E36">
        <w:rPr>
          <w:lang w:eastAsia="ar-SA"/>
        </w:rPr>
        <w:t xml:space="preserve"> és a</w:t>
      </w:r>
      <w:r w:rsidR="00687508" w:rsidRPr="00880E36">
        <w:rPr>
          <w:lang w:eastAsia="ar-SA"/>
        </w:rPr>
        <w:t>z</w:t>
      </w:r>
      <w:r w:rsidRPr="00880E36">
        <w:rPr>
          <w:lang w:eastAsia="ar-SA"/>
        </w:rPr>
        <w:t xml:space="preserve"> </w:t>
      </w:r>
      <w:r w:rsidR="00687508" w:rsidRPr="00880E36">
        <w:rPr>
          <w:lang w:eastAsia="ar-SA"/>
        </w:rPr>
        <w:t>Orosházi</w:t>
      </w:r>
      <w:r w:rsidRPr="00880E36">
        <w:rPr>
          <w:lang w:eastAsia="ar-SA"/>
        </w:rPr>
        <w:t xml:space="preserve"> Katasztrófavédelmi Kirendeltség </w:t>
      </w:r>
      <w:r w:rsidRPr="00880E36">
        <w:t xml:space="preserve">stratégiai céljaihoz való igazodás, a </w:t>
      </w:r>
      <w:r w:rsidR="00052978" w:rsidRPr="00880E36">
        <w:t>Belügyminisztérium Országos Katasztrófavédelmi Főigazgatóság</w:t>
      </w:r>
      <w:r w:rsidRPr="00880E36">
        <w:t xml:space="preserve"> munkaprogramjában meghatározott feladatok </w:t>
      </w:r>
      <w:r w:rsidR="00052978" w:rsidRPr="00880E36">
        <w:t xml:space="preserve">helyi szintű </w:t>
      </w:r>
      <w:r w:rsidRPr="00880E36">
        <w:t xml:space="preserve">végrehajtása, </w:t>
      </w:r>
      <w:r w:rsidR="00052978" w:rsidRPr="00880E36">
        <w:t xml:space="preserve">alkalmazása </w:t>
      </w:r>
      <w:r w:rsidR="00052978" w:rsidRPr="00880E36">
        <w:rPr>
          <w:lang w:eastAsia="ar-SA"/>
        </w:rPr>
        <w:t>a</w:t>
      </w:r>
      <w:r w:rsidR="00A61DDD" w:rsidRPr="00880E36">
        <w:rPr>
          <w:lang w:eastAsia="ar-SA"/>
        </w:rPr>
        <w:t>z</w:t>
      </w:r>
      <w:r w:rsidR="00052978" w:rsidRPr="00880E36">
        <w:rPr>
          <w:lang w:eastAsia="ar-SA"/>
        </w:rPr>
        <w:t xml:space="preserve"> </w:t>
      </w:r>
      <w:r w:rsidR="00A61DDD" w:rsidRPr="00880E36">
        <w:rPr>
          <w:lang w:eastAsia="ar-SA"/>
        </w:rPr>
        <w:t>Orosházi</w:t>
      </w:r>
      <w:r w:rsidR="00052978" w:rsidRPr="00880E36">
        <w:rPr>
          <w:lang w:eastAsia="ar-SA"/>
        </w:rPr>
        <w:t xml:space="preserve"> Katasztrófavédelmi Kirendeltség, valamint az igazgatóság szakmai irányítása mellett.</w:t>
      </w:r>
    </w:p>
    <w:p w:rsidR="00BC6AB6" w:rsidRPr="00880E36" w:rsidRDefault="00BC6AB6" w:rsidP="00BC6AB6">
      <w:pPr>
        <w:suppressAutoHyphens/>
        <w:spacing w:line="276" w:lineRule="auto"/>
        <w:jc w:val="both"/>
      </w:pPr>
      <w:r w:rsidRPr="00880E36">
        <w:rPr>
          <w:lang w:eastAsia="ar-SA"/>
        </w:rPr>
        <w:t>Az Orosházi Hivatásos Tűzoltóparancsnokság 2019-ben a tervezett feladatait Békés Megyei Katasztrófavédelmi Igazgatóság I. és II. féléves vezetői munkatervének és az érvényben levő szabályozóknak megfelelően időarányosan végrehajtotta.</w:t>
      </w:r>
    </w:p>
    <w:p w:rsidR="00BC6AB6" w:rsidRPr="00880E36" w:rsidRDefault="00BC6AB6" w:rsidP="00BC6AB6">
      <w:pPr>
        <w:spacing w:line="276" w:lineRule="auto"/>
        <w:jc w:val="both"/>
      </w:pPr>
      <w:r w:rsidRPr="00880E36">
        <w:t>A lakosság védelme érdekében a meghatározott célok elérésére a működés és beavatkozások feltételeinek biztosítását szolgáló adatbázisok aktualizálása megtörtént, emellett folyamatosan végzi a lakosság és PV szervezetek felkészítését.</w:t>
      </w:r>
    </w:p>
    <w:p w:rsidR="00BC6AB6" w:rsidRPr="00880E36" w:rsidRDefault="00BC6AB6" w:rsidP="00BC6AB6">
      <w:pPr>
        <w:spacing w:line="276" w:lineRule="auto"/>
        <w:jc w:val="both"/>
      </w:pPr>
      <w:r w:rsidRPr="00880E36">
        <w:t>A beavatkozói és irányítói állomány ismereteinek bővítése több alkalommal helyi és központi felkészítések előadások keretében végrehajtásra került.</w:t>
      </w:r>
    </w:p>
    <w:p w:rsidR="00052978" w:rsidRPr="00880E36" w:rsidRDefault="00BC6AB6" w:rsidP="00BC6AB6">
      <w:pPr>
        <w:widowControl w:val="0"/>
        <w:tabs>
          <w:tab w:val="center" w:pos="6663"/>
        </w:tabs>
        <w:spacing w:line="276" w:lineRule="auto"/>
        <w:jc w:val="both"/>
        <w:rPr>
          <w:lang w:eastAsia="ar-SA"/>
        </w:rPr>
      </w:pPr>
      <w:r w:rsidRPr="00880E36">
        <w:t>Az egységes és tervezetten kialakított felügyeleti rendszerek mind arra hivatottak, hogy Magyarország lakosságának biztonsága, a létfenntartáshoz szükséges feltételei minden körülmények között biztosítottak legyenek.</w:t>
      </w:r>
    </w:p>
    <w:p w:rsidR="00C32F31" w:rsidRPr="00880E36" w:rsidRDefault="00C32F31" w:rsidP="0037325C">
      <w:pPr>
        <w:widowControl w:val="0"/>
        <w:tabs>
          <w:tab w:val="center" w:pos="6663"/>
        </w:tabs>
        <w:spacing w:line="276" w:lineRule="auto"/>
        <w:jc w:val="both"/>
        <w:rPr>
          <w:lang w:eastAsia="ar-SA"/>
        </w:rPr>
      </w:pPr>
    </w:p>
    <w:p w:rsidR="00052978" w:rsidRPr="00880E36" w:rsidRDefault="00052978" w:rsidP="0037325C">
      <w:pPr>
        <w:widowControl w:val="0"/>
        <w:tabs>
          <w:tab w:val="center" w:pos="6663"/>
        </w:tabs>
        <w:spacing w:line="276" w:lineRule="auto"/>
        <w:jc w:val="both"/>
        <w:rPr>
          <w:b/>
          <w:bCs/>
        </w:rPr>
      </w:pPr>
      <w:r w:rsidRPr="00880E36">
        <w:rPr>
          <w:b/>
          <w:bCs/>
        </w:rPr>
        <w:t>II. A tűzoltásokról és a műszaki mentésekről</w:t>
      </w:r>
    </w:p>
    <w:p w:rsidR="00052978" w:rsidRPr="00880E36" w:rsidRDefault="00052978" w:rsidP="0037325C">
      <w:pPr>
        <w:widowControl w:val="0"/>
        <w:tabs>
          <w:tab w:val="center" w:pos="6663"/>
        </w:tabs>
        <w:spacing w:line="276" w:lineRule="auto"/>
        <w:jc w:val="both"/>
      </w:pPr>
    </w:p>
    <w:p w:rsidR="00AF326E" w:rsidRDefault="00AF326E" w:rsidP="0037325C">
      <w:pPr>
        <w:widowControl w:val="0"/>
        <w:tabs>
          <w:tab w:val="center" w:pos="6663"/>
        </w:tabs>
        <w:spacing w:line="276" w:lineRule="auto"/>
        <w:jc w:val="both"/>
      </w:pPr>
      <w:r w:rsidRPr="00880E36">
        <w:rPr>
          <w:color w:val="000000"/>
        </w:rPr>
        <w:t xml:space="preserve">Az Orosházi Hivatásos Tűzoltóparancsnokság működési területéhez </w:t>
      </w:r>
      <w:r w:rsidRPr="00880E36">
        <w:t>12 település tartozik. A 12 településből 6 település az Orosházi Katasztrófavédelmi Kirendeltsé</w:t>
      </w:r>
      <w:bookmarkStart w:id="0" w:name="_GoBack"/>
      <w:bookmarkEnd w:id="0"/>
      <w:r w:rsidRPr="00880E36">
        <w:t>g, 2 település a Békéscsabai Katasztrófavédelmi Kirendeltség és 4 település a Szentesi Katasztrófavédelmi Kirendeltség illetékességi területéhez tartozik.</w:t>
      </w:r>
    </w:p>
    <w:p w:rsidR="00880E36" w:rsidRPr="00880E36" w:rsidRDefault="00880E36" w:rsidP="0037325C">
      <w:pPr>
        <w:widowControl w:val="0"/>
        <w:tabs>
          <w:tab w:val="center" w:pos="6663"/>
        </w:tabs>
        <w:spacing w:line="276" w:lineRule="auto"/>
        <w:jc w:val="both"/>
      </w:pPr>
    </w:p>
    <w:p w:rsidR="00FE34EB" w:rsidRPr="00880E36" w:rsidRDefault="00FE34EB" w:rsidP="00FE34EB">
      <w:pPr>
        <w:pStyle w:val="Nincstrkz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80E36">
        <w:rPr>
          <w:rFonts w:ascii="Times New Roman" w:hAnsi="Times New Roman"/>
          <w:sz w:val="24"/>
          <w:szCs w:val="24"/>
        </w:rPr>
        <w:t>Térségünk főbb veszélyeztető hatásai:</w:t>
      </w:r>
    </w:p>
    <w:p w:rsidR="00FE34EB" w:rsidRPr="00880E36" w:rsidRDefault="00FE34EB" w:rsidP="00FE34EB">
      <w:pPr>
        <w:spacing w:line="276" w:lineRule="auto"/>
        <w:jc w:val="both"/>
        <w:rPr>
          <w:sz w:val="30"/>
          <w:szCs w:val="30"/>
        </w:rPr>
      </w:pPr>
      <w:r w:rsidRPr="00880E36">
        <w:t>Természeti eredetű veszélyhelyzetek: rendkívüli időjárási körülmények, nagy mennyiségű csapadék, szélvihar, aszály, belvíz</w:t>
      </w:r>
    </w:p>
    <w:p w:rsidR="00FE34EB" w:rsidRDefault="00FE34EB" w:rsidP="00FE34EB">
      <w:pPr>
        <w:spacing w:line="276" w:lineRule="auto"/>
        <w:jc w:val="both"/>
      </w:pPr>
      <w:r w:rsidRPr="00880E36">
        <w:t>Civilizációs eredetű veszélyhelyzetek: légszennyezettség, veszélyes anyagok, felhasználása, tárolása, veszélyes anyagok szállítása, veszélyes hulladékok, járvány, járványveszély, állategészségügyi járványveszély</w:t>
      </w:r>
    </w:p>
    <w:p w:rsidR="00880E36" w:rsidRPr="00880E36" w:rsidRDefault="00880E36" w:rsidP="00FE34EB">
      <w:pPr>
        <w:spacing w:line="276" w:lineRule="auto"/>
        <w:jc w:val="both"/>
      </w:pPr>
    </w:p>
    <w:p w:rsidR="00FE34EB" w:rsidRPr="00880E36" w:rsidRDefault="00FE34EB" w:rsidP="00FE34EB">
      <w:pPr>
        <w:pStyle w:val="Nincstrkz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80E36">
        <w:rPr>
          <w:rFonts w:ascii="Times New Roman" w:hAnsi="Times New Roman"/>
          <w:sz w:val="24"/>
          <w:szCs w:val="24"/>
        </w:rPr>
        <w:t xml:space="preserve">Működési területünkön </w:t>
      </w:r>
      <w:r w:rsidR="001E2606" w:rsidRPr="00880E36">
        <w:rPr>
          <w:rFonts w:ascii="Times New Roman" w:hAnsi="Times New Roman"/>
          <w:sz w:val="24"/>
          <w:szCs w:val="24"/>
        </w:rPr>
        <w:t>8</w:t>
      </w:r>
      <w:r w:rsidRPr="00880E36">
        <w:rPr>
          <w:rFonts w:ascii="Times New Roman" w:hAnsi="Times New Roman"/>
          <w:sz w:val="24"/>
          <w:szCs w:val="24"/>
        </w:rPr>
        <w:t xml:space="preserve"> db veszélyes üzem található:</w:t>
      </w:r>
    </w:p>
    <w:p w:rsidR="00FE34EB" w:rsidRPr="00880E36" w:rsidRDefault="00FE34EB" w:rsidP="001E2606">
      <w:pPr>
        <w:pStyle w:val="Nincstrkz"/>
        <w:numPr>
          <w:ilvl w:val="0"/>
          <w:numId w:val="11"/>
        </w:numPr>
        <w:spacing w:line="276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880E36">
        <w:rPr>
          <w:rFonts w:ascii="Times New Roman" w:hAnsi="Times New Roman"/>
          <w:sz w:val="24"/>
          <w:szCs w:val="24"/>
        </w:rPr>
        <w:t>Felső küszöbértékű üzemek:</w:t>
      </w:r>
    </w:p>
    <w:p w:rsidR="00FE34EB" w:rsidRPr="00880E36" w:rsidRDefault="00FE34EB" w:rsidP="001E2606">
      <w:pPr>
        <w:pStyle w:val="Nincstrkz"/>
        <w:numPr>
          <w:ilvl w:val="1"/>
          <w:numId w:val="11"/>
        </w:numPr>
        <w:spacing w:line="276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880E36">
        <w:rPr>
          <w:rFonts w:ascii="Times New Roman" w:hAnsi="Times New Roman"/>
          <w:sz w:val="24"/>
          <w:szCs w:val="24"/>
        </w:rPr>
        <w:t>Guardian Orosháza Kft.</w:t>
      </w:r>
    </w:p>
    <w:p w:rsidR="00FE34EB" w:rsidRPr="00880E36" w:rsidRDefault="001E2606" w:rsidP="001E2606">
      <w:pPr>
        <w:pStyle w:val="Nincstrkz"/>
        <w:numPr>
          <w:ilvl w:val="1"/>
          <w:numId w:val="11"/>
        </w:numPr>
        <w:spacing w:line="276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880E36">
        <w:rPr>
          <w:rFonts w:ascii="Times New Roman" w:hAnsi="Times New Roman"/>
          <w:sz w:val="24"/>
          <w:szCs w:val="24"/>
        </w:rPr>
        <w:t xml:space="preserve">MOL </w:t>
      </w:r>
      <w:proofErr w:type="spellStart"/>
      <w:r w:rsidRPr="00880E36">
        <w:rPr>
          <w:rFonts w:ascii="Times New Roman" w:hAnsi="Times New Roman"/>
          <w:sz w:val="24"/>
          <w:szCs w:val="24"/>
        </w:rPr>
        <w:t>Nyrt</w:t>
      </w:r>
      <w:proofErr w:type="spellEnd"/>
      <w:r w:rsidRPr="00880E36">
        <w:rPr>
          <w:rFonts w:ascii="Times New Roman" w:hAnsi="Times New Roman"/>
          <w:sz w:val="24"/>
          <w:szCs w:val="24"/>
        </w:rPr>
        <w:t>. Kutatás-termelés MOL Termelés MOL Békés Régió Kardoskút telephely</w:t>
      </w:r>
    </w:p>
    <w:p w:rsidR="00FE34EB" w:rsidRPr="00880E36" w:rsidRDefault="00FE34EB" w:rsidP="001E2606">
      <w:pPr>
        <w:pStyle w:val="Nincstrkz"/>
        <w:numPr>
          <w:ilvl w:val="1"/>
          <w:numId w:val="11"/>
        </w:numPr>
        <w:spacing w:line="276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880E36">
        <w:rPr>
          <w:rFonts w:ascii="Times New Roman" w:hAnsi="Times New Roman"/>
          <w:sz w:val="24"/>
          <w:szCs w:val="24"/>
        </w:rPr>
        <w:t xml:space="preserve">Magyar Földgáztároló </w:t>
      </w:r>
      <w:proofErr w:type="spellStart"/>
      <w:r w:rsidRPr="00880E36">
        <w:rPr>
          <w:rFonts w:ascii="Times New Roman" w:hAnsi="Times New Roman"/>
          <w:sz w:val="24"/>
          <w:szCs w:val="24"/>
        </w:rPr>
        <w:t>Zrt</w:t>
      </w:r>
      <w:proofErr w:type="spellEnd"/>
      <w:r w:rsidRPr="00880E36">
        <w:rPr>
          <w:rFonts w:ascii="Times New Roman" w:hAnsi="Times New Roman"/>
          <w:sz w:val="24"/>
          <w:szCs w:val="24"/>
        </w:rPr>
        <w:t>. - Kardoskút</w:t>
      </w:r>
    </w:p>
    <w:p w:rsidR="00FE34EB" w:rsidRPr="00880E36" w:rsidRDefault="00FE34EB" w:rsidP="001E2606">
      <w:pPr>
        <w:pStyle w:val="Nincstrkz"/>
        <w:numPr>
          <w:ilvl w:val="0"/>
          <w:numId w:val="11"/>
        </w:numPr>
        <w:spacing w:line="276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880E36">
        <w:rPr>
          <w:rFonts w:ascii="Times New Roman" w:hAnsi="Times New Roman"/>
          <w:sz w:val="24"/>
          <w:szCs w:val="24"/>
        </w:rPr>
        <w:t>Alsó küszöbértékű üzemek:</w:t>
      </w:r>
    </w:p>
    <w:p w:rsidR="00FE34EB" w:rsidRPr="00880E36" w:rsidRDefault="00FE34EB" w:rsidP="001E2606">
      <w:pPr>
        <w:pStyle w:val="Nincstrkz"/>
        <w:numPr>
          <w:ilvl w:val="1"/>
          <w:numId w:val="11"/>
        </w:numPr>
        <w:spacing w:line="276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880E36">
        <w:rPr>
          <w:rFonts w:ascii="Times New Roman" w:hAnsi="Times New Roman"/>
          <w:sz w:val="24"/>
          <w:szCs w:val="24"/>
        </w:rPr>
        <w:t>IKR Agrár Kereskedelmi és Szolgáltató Kft. Kardoskúti Műtrágyaüzeme</w:t>
      </w:r>
    </w:p>
    <w:p w:rsidR="00FE34EB" w:rsidRDefault="00FE34EB" w:rsidP="001E2606">
      <w:pPr>
        <w:pStyle w:val="Nincstrkz"/>
        <w:numPr>
          <w:ilvl w:val="1"/>
          <w:numId w:val="11"/>
        </w:numPr>
        <w:spacing w:line="276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880E36">
        <w:rPr>
          <w:rFonts w:ascii="Times New Roman" w:hAnsi="Times New Roman"/>
          <w:sz w:val="24"/>
          <w:szCs w:val="24"/>
        </w:rPr>
        <w:t>IKR Agrár Kereskedelmi és Szolgáltató Kft. Orosházi Területi Központja</w:t>
      </w:r>
    </w:p>
    <w:p w:rsidR="00880E36" w:rsidRDefault="00880E36" w:rsidP="00880E36">
      <w:pPr>
        <w:pStyle w:val="Nincstrkz"/>
        <w:spacing w:line="276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880E36" w:rsidRPr="00880E36" w:rsidRDefault="00880E36" w:rsidP="00880E36">
      <w:pPr>
        <w:pStyle w:val="Nincstrkz"/>
        <w:spacing w:line="276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FE34EB" w:rsidRPr="00880E36" w:rsidRDefault="00FE34EB" w:rsidP="001E2606">
      <w:pPr>
        <w:pStyle w:val="Nincstrkz"/>
        <w:numPr>
          <w:ilvl w:val="0"/>
          <w:numId w:val="11"/>
        </w:numPr>
        <w:spacing w:line="276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880E36">
        <w:rPr>
          <w:rFonts w:ascii="Times New Roman" w:hAnsi="Times New Roman"/>
          <w:sz w:val="24"/>
          <w:szCs w:val="24"/>
        </w:rPr>
        <w:lastRenderedPageBreak/>
        <w:t>Küszöbérték alatti üzemek</w:t>
      </w:r>
    </w:p>
    <w:p w:rsidR="00FE34EB" w:rsidRPr="00880E36" w:rsidRDefault="00FE34EB" w:rsidP="001E2606">
      <w:pPr>
        <w:pStyle w:val="Nincstrkz"/>
        <w:numPr>
          <w:ilvl w:val="1"/>
          <w:numId w:val="11"/>
        </w:numPr>
        <w:spacing w:line="276" w:lineRule="auto"/>
        <w:ind w:left="993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80E36">
        <w:rPr>
          <w:rStyle w:val="Kiemels2"/>
          <w:rFonts w:ascii="Times New Roman" w:hAnsi="Times New Roman"/>
          <w:b w:val="0"/>
          <w:sz w:val="24"/>
          <w:szCs w:val="24"/>
        </w:rPr>
        <w:t>Merian</w:t>
      </w:r>
      <w:proofErr w:type="spellEnd"/>
      <w:r w:rsidRPr="00880E36">
        <w:rPr>
          <w:rStyle w:val="Kiemels2"/>
          <w:rFonts w:ascii="Times New Roman" w:hAnsi="Times New Roman"/>
          <w:b w:val="0"/>
          <w:sz w:val="24"/>
          <w:szCs w:val="24"/>
        </w:rPr>
        <w:t xml:space="preserve"> Foods Élelmiszeripari Kft.</w:t>
      </w:r>
    </w:p>
    <w:p w:rsidR="00FE34EB" w:rsidRPr="00880E36" w:rsidRDefault="00FE34EB" w:rsidP="001E2606">
      <w:pPr>
        <w:pStyle w:val="Nincstrkz"/>
        <w:numPr>
          <w:ilvl w:val="1"/>
          <w:numId w:val="11"/>
        </w:numPr>
        <w:spacing w:line="276" w:lineRule="auto"/>
        <w:ind w:left="993" w:hanging="425"/>
        <w:jc w:val="both"/>
        <w:rPr>
          <w:rStyle w:val="st"/>
          <w:rFonts w:ascii="Times New Roman" w:hAnsi="Times New Roman"/>
          <w:sz w:val="24"/>
          <w:szCs w:val="24"/>
        </w:rPr>
      </w:pPr>
      <w:r w:rsidRPr="00880E36">
        <w:rPr>
          <w:rStyle w:val="st"/>
          <w:rFonts w:ascii="Times New Roman" w:hAnsi="Times New Roman"/>
          <w:sz w:val="24"/>
          <w:szCs w:val="24"/>
        </w:rPr>
        <w:t xml:space="preserve">Alföldi Kohászati és Gépipari </w:t>
      </w:r>
      <w:proofErr w:type="spellStart"/>
      <w:r w:rsidRPr="00880E36">
        <w:rPr>
          <w:rStyle w:val="st"/>
          <w:rFonts w:ascii="Times New Roman" w:hAnsi="Times New Roman"/>
          <w:sz w:val="24"/>
          <w:szCs w:val="24"/>
        </w:rPr>
        <w:t>Zrt</w:t>
      </w:r>
      <w:proofErr w:type="spellEnd"/>
      <w:r w:rsidRPr="00880E36">
        <w:rPr>
          <w:rStyle w:val="st"/>
          <w:rFonts w:ascii="Times New Roman" w:hAnsi="Times New Roman"/>
          <w:sz w:val="24"/>
          <w:szCs w:val="24"/>
        </w:rPr>
        <w:t>.</w:t>
      </w:r>
    </w:p>
    <w:p w:rsidR="001E2606" w:rsidRDefault="001E2606" w:rsidP="001E2606">
      <w:pPr>
        <w:pStyle w:val="Nincstrkz"/>
        <w:numPr>
          <w:ilvl w:val="1"/>
          <w:numId w:val="11"/>
        </w:numPr>
        <w:spacing w:line="276" w:lineRule="auto"/>
        <w:ind w:left="993" w:hanging="425"/>
        <w:jc w:val="both"/>
        <w:rPr>
          <w:rStyle w:val="st"/>
          <w:rFonts w:ascii="Times New Roman" w:hAnsi="Times New Roman"/>
          <w:sz w:val="24"/>
          <w:szCs w:val="24"/>
        </w:rPr>
      </w:pPr>
      <w:r w:rsidRPr="00880E36">
        <w:rPr>
          <w:rStyle w:val="st"/>
          <w:rFonts w:ascii="Times New Roman" w:hAnsi="Times New Roman"/>
          <w:sz w:val="24"/>
          <w:szCs w:val="24"/>
        </w:rPr>
        <w:t>O-I Hungary Kft.</w:t>
      </w:r>
    </w:p>
    <w:p w:rsidR="00880E36" w:rsidRPr="00880E36" w:rsidRDefault="00880E36" w:rsidP="00880E36">
      <w:pPr>
        <w:pStyle w:val="Nincstrkz"/>
        <w:spacing w:line="276" w:lineRule="auto"/>
        <w:jc w:val="both"/>
        <w:rPr>
          <w:rStyle w:val="st"/>
          <w:rFonts w:ascii="Times New Roman" w:hAnsi="Times New Roman"/>
          <w:sz w:val="24"/>
          <w:szCs w:val="24"/>
        </w:rPr>
      </w:pPr>
    </w:p>
    <w:p w:rsidR="00BC6AB6" w:rsidRPr="00880E36" w:rsidRDefault="001E2606" w:rsidP="00BC6AB6">
      <w:pPr>
        <w:widowControl w:val="0"/>
        <w:tabs>
          <w:tab w:val="center" w:pos="6663"/>
        </w:tabs>
        <w:spacing w:line="276" w:lineRule="auto"/>
        <w:jc w:val="both"/>
      </w:pPr>
      <w:r w:rsidRPr="00880E36">
        <w:t>A terület védelmét napi 14 fő</w:t>
      </w:r>
      <w:r w:rsidR="00BC6AB6" w:rsidRPr="00880E36">
        <w:t>vel, 2 db gépjárműfecskendővel, 1db vízszállító gépjárművel, 1 db magasból mentő gépjárművel és 1 db gyorsbeavatkozó (műszaki mentő) gépjárművel lá</w:t>
      </w:r>
      <w:r w:rsidR="00FE34EB" w:rsidRPr="00880E36">
        <w:t>tja el.</w:t>
      </w:r>
    </w:p>
    <w:p w:rsidR="00FE34EB" w:rsidRPr="00880E36" w:rsidRDefault="00B421D8" w:rsidP="00BC6AB6">
      <w:pPr>
        <w:widowControl w:val="0"/>
        <w:tabs>
          <w:tab w:val="center" w:pos="6663"/>
        </w:tabs>
        <w:spacing w:line="276" w:lineRule="auto"/>
        <w:jc w:val="both"/>
      </w:pPr>
      <w:r w:rsidRPr="00880E36">
        <w:t>Tűzoltóságunk szerállománya amortizációs csere révén 2019. év decemberében egy új magasból mentő gépjárművel gazdagodott. A gépjármű rendszerbe állítása és a kezelő személyzet kiképzése megtörtént.</w:t>
      </w:r>
    </w:p>
    <w:p w:rsidR="00B421D8" w:rsidRPr="00880E36" w:rsidRDefault="00B421D8" w:rsidP="00BC6AB6">
      <w:pPr>
        <w:widowControl w:val="0"/>
        <w:tabs>
          <w:tab w:val="center" w:pos="6663"/>
        </w:tabs>
        <w:spacing w:line="276" w:lineRule="auto"/>
        <w:jc w:val="both"/>
      </w:pPr>
    </w:p>
    <w:p w:rsidR="00BC6AB6" w:rsidRPr="00880E36" w:rsidRDefault="00BC6AB6" w:rsidP="00BC6AB6">
      <w:pPr>
        <w:widowControl w:val="0"/>
        <w:tabs>
          <w:tab w:val="center" w:pos="6663"/>
        </w:tabs>
        <w:spacing w:line="276" w:lineRule="auto"/>
        <w:jc w:val="both"/>
      </w:pPr>
      <w:r w:rsidRPr="00880E36">
        <w:t>A tűzoltóság működési területén 5 db Önkéntes Tűzoltó Egyesület (ÖTE) működik.</w:t>
      </w:r>
    </w:p>
    <w:p w:rsidR="00B421D8" w:rsidRPr="00880E36" w:rsidRDefault="00B421D8" w:rsidP="00BC6AB6">
      <w:pPr>
        <w:widowControl w:val="0"/>
        <w:tabs>
          <w:tab w:val="center" w:pos="6663"/>
        </w:tabs>
        <w:spacing w:line="276" w:lineRule="auto"/>
        <w:jc w:val="both"/>
      </w:pPr>
    </w:p>
    <w:p w:rsidR="00BC6AB6" w:rsidRPr="00880E36" w:rsidRDefault="00BC6AB6" w:rsidP="00BC6AB6">
      <w:pPr>
        <w:pStyle w:val="Listaszerbekezds"/>
        <w:widowControl w:val="0"/>
        <w:numPr>
          <w:ilvl w:val="0"/>
          <w:numId w:val="10"/>
        </w:numPr>
        <w:spacing w:line="276" w:lineRule="auto"/>
        <w:jc w:val="both"/>
      </w:pPr>
      <w:r w:rsidRPr="00880E36">
        <w:rPr>
          <w:color w:val="000000"/>
        </w:rPr>
        <w:t>Csanádapácai Önkéntes Tűzoltó Egyesület</w:t>
      </w:r>
    </w:p>
    <w:p w:rsidR="00BC6AB6" w:rsidRPr="00880E36" w:rsidRDefault="00BC6AB6" w:rsidP="00BC6AB6">
      <w:pPr>
        <w:pStyle w:val="Listaszerbekezds"/>
        <w:widowControl w:val="0"/>
        <w:numPr>
          <w:ilvl w:val="0"/>
          <w:numId w:val="10"/>
        </w:numPr>
        <w:spacing w:line="276" w:lineRule="auto"/>
        <w:jc w:val="both"/>
      </w:pPr>
      <w:r w:rsidRPr="00880E36">
        <w:rPr>
          <w:color w:val="000000"/>
        </w:rPr>
        <w:t>Csorvás Város Önkéntes Tűzoltó Egyesület</w:t>
      </w:r>
    </w:p>
    <w:p w:rsidR="00BC6AB6" w:rsidRPr="00880E36" w:rsidRDefault="00BC6AB6" w:rsidP="00BC6AB6">
      <w:pPr>
        <w:pStyle w:val="Listaszerbekezds"/>
        <w:widowControl w:val="0"/>
        <w:numPr>
          <w:ilvl w:val="0"/>
          <w:numId w:val="10"/>
        </w:numPr>
        <w:spacing w:line="276" w:lineRule="auto"/>
        <w:jc w:val="both"/>
      </w:pPr>
      <w:r w:rsidRPr="00880E36">
        <w:rPr>
          <w:color w:val="000000"/>
        </w:rPr>
        <w:t>Nagymágocs Nagyközségi Önkéntes Tűzoltó Közhasznú Egyesület</w:t>
      </w:r>
    </w:p>
    <w:p w:rsidR="00BC6AB6" w:rsidRPr="00880E36" w:rsidRDefault="00BC6AB6" w:rsidP="00BC6AB6">
      <w:pPr>
        <w:pStyle w:val="Listaszerbekezds"/>
        <w:widowControl w:val="0"/>
        <w:numPr>
          <w:ilvl w:val="0"/>
          <w:numId w:val="10"/>
        </w:numPr>
        <w:spacing w:line="276" w:lineRule="auto"/>
        <w:jc w:val="both"/>
      </w:pPr>
      <w:r w:rsidRPr="00880E36">
        <w:rPr>
          <w:color w:val="000000"/>
        </w:rPr>
        <w:t>Nagyszénási Önkéntes Tűzoltó Egyesület</w:t>
      </w:r>
    </w:p>
    <w:p w:rsidR="00BC6AB6" w:rsidRPr="00880E36" w:rsidRDefault="00BC6AB6" w:rsidP="00BC6AB6">
      <w:pPr>
        <w:pStyle w:val="Listaszerbekezds"/>
        <w:widowControl w:val="0"/>
        <w:numPr>
          <w:ilvl w:val="0"/>
          <w:numId w:val="10"/>
        </w:numPr>
        <w:spacing w:line="276" w:lineRule="auto"/>
        <w:jc w:val="both"/>
      </w:pPr>
      <w:r w:rsidRPr="00880E36">
        <w:rPr>
          <w:color w:val="000000"/>
        </w:rPr>
        <w:t>Pusztaföldvári Önkéntes Tűzoltó Egyesület</w:t>
      </w:r>
    </w:p>
    <w:p w:rsidR="00BC6AB6" w:rsidRPr="00880E36" w:rsidRDefault="00BC6AB6" w:rsidP="00BC6AB6">
      <w:pPr>
        <w:widowControl w:val="0"/>
        <w:spacing w:line="276" w:lineRule="auto"/>
        <w:jc w:val="both"/>
        <w:rPr>
          <w:color w:val="000000"/>
        </w:rPr>
      </w:pPr>
    </w:p>
    <w:p w:rsidR="00BC6AB6" w:rsidRPr="00880E36" w:rsidRDefault="00BC6AB6" w:rsidP="00BC6AB6">
      <w:pPr>
        <w:widowControl w:val="0"/>
        <w:spacing w:line="276" w:lineRule="auto"/>
        <w:jc w:val="both"/>
      </w:pPr>
      <w:r w:rsidRPr="00880E36">
        <w:rPr>
          <w:color w:val="000000"/>
        </w:rPr>
        <w:t>A működési terület 97005 hektár területet és 24162 fő lakónépességet ölel föl.</w:t>
      </w:r>
    </w:p>
    <w:p w:rsidR="00AF326E" w:rsidRPr="00880E36" w:rsidRDefault="00AF326E" w:rsidP="0037325C">
      <w:pPr>
        <w:widowControl w:val="0"/>
        <w:tabs>
          <w:tab w:val="center" w:pos="6663"/>
        </w:tabs>
        <w:spacing w:line="276" w:lineRule="auto"/>
        <w:jc w:val="both"/>
        <w:rPr>
          <w:b/>
        </w:rPr>
      </w:pPr>
    </w:p>
    <w:p w:rsidR="00D7344A" w:rsidRPr="00880E36" w:rsidRDefault="00D7344A" w:rsidP="0037325C">
      <w:pPr>
        <w:widowControl w:val="0"/>
        <w:tabs>
          <w:tab w:val="center" w:pos="6663"/>
        </w:tabs>
        <w:spacing w:line="276" w:lineRule="auto"/>
        <w:jc w:val="both"/>
        <w:rPr>
          <w:b/>
        </w:rPr>
      </w:pPr>
      <w:r w:rsidRPr="00880E36">
        <w:rPr>
          <w:noProof/>
        </w:rPr>
        <w:drawing>
          <wp:inline distT="0" distB="0" distL="0" distR="0" wp14:anchorId="6BEB5CC6" wp14:editId="55FB7B27">
            <wp:extent cx="5759450" cy="4629150"/>
            <wp:effectExtent l="0" t="0" r="12700" b="0"/>
            <wp:docPr id="15" name="Diagram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50F7C" w:rsidRPr="00880E36" w:rsidRDefault="00D7344A" w:rsidP="0037325C">
      <w:pPr>
        <w:widowControl w:val="0"/>
        <w:tabs>
          <w:tab w:val="center" w:pos="6663"/>
        </w:tabs>
        <w:spacing w:line="276" w:lineRule="auto"/>
        <w:jc w:val="both"/>
      </w:pPr>
      <w:r w:rsidRPr="00880E36">
        <w:rPr>
          <w:noProof/>
        </w:rPr>
        <w:lastRenderedPageBreak/>
        <w:drawing>
          <wp:inline distT="0" distB="0" distL="0" distR="0" wp14:anchorId="5CE38C89" wp14:editId="7B7993A5">
            <wp:extent cx="5759450" cy="4657725"/>
            <wp:effectExtent l="0" t="0" r="12700" b="9525"/>
            <wp:docPr id="16" name="Diagram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50F7C" w:rsidRPr="00880E36" w:rsidRDefault="00F50F7C" w:rsidP="0037325C">
      <w:pPr>
        <w:widowControl w:val="0"/>
        <w:tabs>
          <w:tab w:val="center" w:pos="6663"/>
        </w:tabs>
        <w:spacing w:line="276" w:lineRule="auto"/>
        <w:jc w:val="both"/>
        <w:sectPr w:rsidR="00F50F7C" w:rsidRPr="00880E36" w:rsidSect="001E2606">
          <w:pgSz w:w="11906" w:h="16838"/>
          <w:pgMar w:top="1134" w:right="1417" w:bottom="1135" w:left="1417" w:header="708" w:footer="708" w:gutter="0"/>
          <w:cols w:space="708"/>
          <w:docGrid w:linePitch="360"/>
        </w:sectPr>
      </w:pPr>
    </w:p>
    <w:p w:rsidR="00996684" w:rsidRPr="00880E36" w:rsidRDefault="00996684" w:rsidP="0037325C">
      <w:pPr>
        <w:widowControl w:val="0"/>
        <w:tabs>
          <w:tab w:val="center" w:pos="6663"/>
        </w:tabs>
        <w:spacing w:line="276" w:lineRule="auto"/>
        <w:ind w:left="709"/>
      </w:pPr>
      <w:r w:rsidRPr="00880E36">
        <w:lastRenderedPageBreak/>
        <w:t>2019 évben 484 esetben kellett az tűzoltóságnak riasztást végrehajtani. Táblázatos formában az esetek megoszlása a következőket mutatja:</w:t>
      </w:r>
    </w:p>
    <w:p w:rsidR="00996684" w:rsidRPr="00880E36" w:rsidRDefault="00996684" w:rsidP="0037325C">
      <w:pPr>
        <w:widowControl w:val="0"/>
        <w:tabs>
          <w:tab w:val="center" w:pos="6663"/>
        </w:tabs>
        <w:spacing w:line="276" w:lineRule="auto"/>
        <w:ind w:left="709"/>
      </w:pPr>
    </w:p>
    <w:p w:rsidR="00F50F7C" w:rsidRPr="00880E36" w:rsidRDefault="00F50F7C" w:rsidP="0037325C">
      <w:pPr>
        <w:widowControl w:val="0"/>
        <w:tabs>
          <w:tab w:val="center" w:pos="6663"/>
        </w:tabs>
        <w:spacing w:line="276" w:lineRule="auto"/>
        <w:jc w:val="center"/>
      </w:pPr>
      <w:r w:rsidRPr="00880E36">
        <w:t>Összesített vonulások száma esemény típusa szerint:</w:t>
      </w:r>
    </w:p>
    <w:p w:rsidR="00F50F7C" w:rsidRPr="00880E36" w:rsidRDefault="00F50F7C" w:rsidP="0037325C">
      <w:pPr>
        <w:widowControl w:val="0"/>
        <w:tabs>
          <w:tab w:val="center" w:pos="6663"/>
        </w:tabs>
        <w:spacing w:line="276" w:lineRule="auto"/>
        <w:jc w:val="both"/>
      </w:pPr>
    </w:p>
    <w:p w:rsidR="00F50F7C" w:rsidRPr="00880E36" w:rsidRDefault="00D615CC" w:rsidP="00521F76">
      <w:pPr>
        <w:widowControl w:val="0"/>
        <w:tabs>
          <w:tab w:val="center" w:pos="6663"/>
        </w:tabs>
        <w:spacing w:line="276" w:lineRule="auto"/>
        <w:jc w:val="center"/>
      </w:pPr>
      <w:r w:rsidRPr="00880E36">
        <w:rPr>
          <w:noProof/>
        </w:rPr>
        <w:drawing>
          <wp:inline distT="0" distB="0" distL="0" distR="0" wp14:anchorId="11791462" wp14:editId="17979B32">
            <wp:extent cx="10531475" cy="5457825"/>
            <wp:effectExtent l="0" t="0" r="3175" b="9525"/>
            <wp:docPr id="3" name="Diagram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615CC" w:rsidRPr="00880E36" w:rsidRDefault="00D615CC" w:rsidP="0037325C">
      <w:pPr>
        <w:widowControl w:val="0"/>
        <w:tabs>
          <w:tab w:val="center" w:pos="6663"/>
        </w:tabs>
        <w:spacing w:line="276" w:lineRule="auto"/>
        <w:jc w:val="center"/>
      </w:pPr>
    </w:p>
    <w:p w:rsidR="00521F76" w:rsidRPr="00880E36" w:rsidRDefault="00521F76" w:rsidP="0037325C">
      <w:pPr>
        <w:widowControl w:val="0"/>
        <w:tabs>
          <w:tab w:val="center" w:pos="6663"/>
        </w:tabs>
        <w:spacing w:line="276" w:lineRule="auto"/>
        <w:jc w:val="center"/>
        <w:sectPr w:rsidR="00521F76" w:rsidRPr="00880E36" w:rsidSect="00521F76">
          <w:pgSz w:w="16838" w:h="11906" w:orient="landscape"/>
          <w:pgMar w:top="851" w:right="111" w:bottom="709" w:left="142" w:header="708" w:footer="708" w:gutter="0"/>
          <w:cols w:space="708"/>
          <w:docGrid w:linePitch="360"/>
        </w:sectPr>
      </w:pPr>
    </w:p>
    <w:p w:rsidR="00F50F7C" w:rsidRPr="00880E36" w:rsidRDefault="00F50F7C" w:rsidP="0037325C">
      <w:pPr>
        <w:widowControl w:val="0"/>
        <w:tabs>
          <w:tab w:val="center" w:pos="6663"/>
        </w:tabs>
        <w:spacing w:line="276" w:lineRule="auto"/>
        <w:jc w:val="center"/>
      </w:pPr>
      <w:r w:rsidRPr="00880E36">
        <w:lastRenderedPageBreak/>
        <w:t>Káresetek lebontása települések szerint a HTP működési területén (I.):</w:t>
      </w:r>
    </w:p>
    <w:p w:rsidR="00D615CC" w:rsidRPr="00880E36" w:rsidRDefault="00D615CC" w:rsidP="0037325C">
      <w:pPr>
        <w:widowControl w:val="0"/>
        <w:tabs>
          <w:tab w:val="center" w:pos="6663"/>
        </w:tabs>
        <w:spacing w:line="276" w:lineRule="auto"/>
        <w:jc w:val="center"/>
      </w:pPr>
    </w:p>
    <w:p w:rsidR="00996684" w:rsidRPr="00880E36" w:rsidRDefault="00D615CC" w:rsidP="0037325C">
      <w:pPr>
        <w:widowControl w:val="0"/>
        <w:tabs>
          <w:tab w:val="center" w:pos="6663"/>
        </w:tabs>
        <w:spacing w:line="276" w:lineRule="auto"/>
        <w:jc w:val="both"/>
      </w:pPr>
      <w:r w:rsidRPr="00880E36">
        <w:rPr>
          <w:noProof/>
        </w:rPr>
        <w:drawing>
          <wp:inline distT="0" distB="0" distL="0" distR="0" wp14:anchorId="5F99FC40" wp14:editId="3A4BDDC0">
            <wp:extent cx="10450195" cy="6479540"/>
            <wp:effectExtent l="0" t="0" r="8255" b="16510"/>
            <wp:docPr id="4" name="Diagram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96684" w:rsidRPr="00880E36" w:rsidRDefault="00996684" w:rsidP="0037325C">
      <w:pPr>
        <w:widowControl w:val="0"/>
        <w:tabs>
          <w:tab w:val="center" w:pos="6663"/>
        </w:tabs>
        <w:spacing w:line="276" w:lineRule="auto"/>
        <w:jc w:val="both"/>
      </w:pPr>
    </w:p>
    <w:p w:rsidR="00F50F7C" w:rsidRPr="00880E36" w:rsidRDefault="00F50F7C" w:rsidP="0037325C">
      <w:pPr>
        <w:widowControl w:val="0"/>
        <w:tabs>
          <w:tab w:val="center" w:pos="6663"/>
        </w:tabs>
        <w:spacing w:line="276" w:lineRule="auto"/>
        <w:jc w:val="both"/>
      </w:pPr>
    </w:p>
    <w:p w:rsidR="00F50F7C" w:rsidRPr="00880E36" w:rsidRDefault="00F50F7C" w:rsidP="0037325C">
      <w:pPr>
        <w:widowControl w:val="0"/>
        <w:tabs>
          <w:tab w:val="center" w:pos="6663"/>
        </w:tabs>
        <w:spacing w:line="276" w:lineRule="auto"/>
        <w:jc w:val="center"/>
      </w:pPr>
      <w:r w:rsidRPr="00880E36">
        <w:t>Káresetek lebontása települések szerint a HTP működési területén (II.):</w:t>
      </w:r>
    </w:p>
    <w:p w:rsidR="00F50F7C" w:rsidRPr="00880E36" w:rsidRDefault="00F50F7C" w:rsidP="0037325C">
      <w:pPr>
        <w:widowControl w:val="0"/>
        <w:tabs>
          <w:tab w:val="center" w:pos="6663"/>
        </w:tabs>
        <w:spacing w:line="276" w:lineRule="auto"/>
        <w:jc w:val="center"/>
      </w:pPr>
    </w:p>
    <w:p w:rsidR="00F50F7C" w:rsidRPr="00880E36" w:rsidRDefault="00D615CC" w:rsidP="0037325C">
      <w:pPr>
        <w:widowControl w:val="0"/>
        <w:tabs>
          <w:tab w:val="center" w:pos="6663"/>
        </w:tabs>
        <w:spacing w:line="276" w:lineRule="auto"/>
        <w:jc w:val="center"/>
      </w:pPr>
      <w:r w:rsidRPr="00880E36">
        <w:rPr>
          <w:noProof/>
        </w:rPr>
        <w:drawing>
          <wp:inline distT="0" distB="0" distL="0" distR="0" wp14:anchorId="5470B80F" wp14:editId="30D56A0D">
            <wp:extent cx="8229601" cy="5205414"/>
            <wp:effectExtent l="0" t="0" r="0" b="14605"/>
            <wp:docPr id="5" name="Diagram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50F7C" w:rsidRPr="00880E36" w:rsidRDefault="00F50F7C" w:rsidP="0037325C">
      <w:pPr>
        <w:widowControl w:val="0"/>
        <w:tabs>
          <w:tab w:val="center" w:pos="6663"/>
        </w:tabs>
        <w:spacing w:line="276" w:lineRule="auto"/>
        <w:jc w:val="both"/>
      </w:pPr>
    </w:p>
    <w:p w:rsidR="00F50F7C" w:rsidRPr="00880E36" w:rsidRDefault="00F50F7C" w:rsidP="0037325C">
      <w:pPr>
        <w:widowControl w:val="0"/>
        <w:tabs>
          <w:tab w:val="center" w:pos="6663"/>
        </w:tabs>
        <w:spacing w:line="276" w:lineRule="auto"/>
        <w:jc w:val="both"/>
        <w:sectPr w:rsidR="00F50F7C" w:rsidRPr="00880E36" w:rsidSect="00521F76">
          <w:pgSz w:w="16838" w:h="11906" w:orient="landscape"/>
          <w:pgMar w:top="426" w:right="111" w:bottom="284" w:left="142" w:header="708" w:footer="708" w:gutter="0"/>
          <w:cols w:space="708"/>
          <w:docGrid w:linePitch="360"/>
        </w:sectPr>
      </w:pPr>
    </w:p>
    <w:p w:rsidR="00B421D8" w:rsidRPr="00880E36" w:rsidRDefault="00880E36" w:rsidP="0037325C">
      <w:pPr>
        <w:widowControl w:val="0"/>
        <w:tabs>
          <w:tab w:val="center" w:pos="6663"/>
        </w:tabs>
        <w:spacing w:line="276" w:lineRule="auto"/>
        <w:jc w:val="both"/>
        <w:rPr>
          <w:bCs/>
        </w:rPr>
      </w:pPr>
      <w:r>
        <w:lastRenderedPageBreak/>
        <w:t>A</w:t>
      </w:r>
      <w:r w:rsidR="00B421D8" w:rsidRPr="00880E36">
        <w:t xml:space="preserve">z Orosházi Hivatásos Tűzoltóparancsnokság katasztrófavédelmi művelet száma az előző évek adataihoz viszonyítva - kivétel 2017 - növekedést mutatnak. Az emelkedés </w:t>
      </w:r>
      <w:r w:rsidR="00B421D8" w:rsidRPr="00880E36">
        <w:t>különösen a műszaki mentések terén jelentős. Az eltérés elsősorban a</w:t>
      </w:r>
      <w:r w:rsidR="00B421D8" w:rsidRPr="00880E36">
        <w:t xml:space="preserve"> megváltozott időjárási körülményekből adódik.</w:t>
      </w:r>
      <w:r w:rsidR="00B421D8" w:rsidRPr="00880E36">
        <w:t xml:space="preserve"> </w:t>
      </w:r>
    </w:p>
    <w:p w:rsidR="00B421D8" w:rsidRPr="00880E36" w:rsidRDefault="00B421D8" w:rsidP="00B421D8">
      <w:pPr>
        <w:spacing w:line="360" w:lineRule="auto"/>
        <w:jc w:val="both"/>
        <w:rPr>
          <w:noProof/>
        </w:rPr>
      </w:pPr>
    </w:p>
    <w:p w:rsidR="00B421D8" w:rsidRPr="00880E36" w:rsidRDefault="00B421D8" w:rsidP="00B421D8">
      <w:pPr>
        <w:autoSpaceDE w:val="0"/>
        <w:autoSpaceDN w:val="0"/>
        <w:adjustRightInd w:val="0"/>
        <w:spacing w:line="360" w:lineRule="auto"/>
        <w:jc w:val="both"/>
        <w:rPr>
          <w:noProof/>
        </w:rPr>
      </w:pPr>
      <w:r w:rsidRPr="00880E36">
        <w:rPr>
          <w:noProof/>
        </w:rPr>
        <w:t>2019. évben végrehajtott gyakorlatok száma 76</w:t>
      </w:r>
      <w:r w:rsidRPr="00880E36">
        <w:rPr>
          <w:noProof/>
        </w:rPr>
        <w:t xml:space="preserve"> db.</w:t>
      </w:r>
    </w:p>
    <w:p w:rsidR="00B421D8" w:rsidRPr="00880E36" w:rsidRDefault="00B421D8" w:rsidP="00B421D8">
      <w:pPr>
        <w:tabs>
          <w:tab w:val="center" w:pos="7380"/>
        </w:tabs>
        <w:spacing w:line="360" w:lineRule="auto"/>
        <w:jc w:val="both"/>
      </w:pPr>
      <w:r w:rsidRPr="00880E36">
        <w:t xml:space="preserve">A gyakorlatok végrehajtását az éves gyakorlatterv alapján végezzük. Elmaradt gyakorlat </w:t>
      </w:r>
      <w:r w:rsidRPr="00880E36">
        <w:t>nem volt.</w:t>
      </w:r>
    </w:p>
    <w:p w:rsidR="00B421D8" w:rsidRPr="00880E36" w:rsidRDefault="00B421D8" w:rsidP="00B421D8">
      <w:pPr>
        <w:tabs>
          <w:tab w:val="center" w:pos="7380"/>
        </w:tabs>
        <w:spacing w:line="360" w:lineRule="auto"/>
        <w:jc w:val="both"/>
      </w:pPr>
      <w:r w:rsidRPr="00880E36">
        <w:rPr>
          <w:noProof/>
        </w:rPr>
        <w:drawing>
          <wp:inline distT="0" distB="0" distL="0" distR="0" wp14:anchorId="22FAFDF5" wp14:editId="11ED6DEF">
            <wp:extent cx="5943600" cy="4000500"/>
            <wp:effectExtent l="0" t="0" r="0" b="0"/>
            <wp:docPr id="6" name="Diagram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421D8" w:rsidRPr="00880E36" w:rsidRDefault="00B421D8" w:rsidP="00B421D8">
      <w:pPr>
        <w:tabs>
          <w:tab w:val="center" w:pos="7380"/>
        </w:tabs>
        <w:spacing w:line="360" w:lineRule="auto"/>
        <w:jc w:val="both"/>
      </w:pPr>
    </w:p>
    <w:p w:rsidR="00B421D8" w:rsidRPr="00880E36" w:rsidRDefault="00B421D8" w:rsidP="00B421D8">
      <w:pPr>
        <w:tabs>
          <w:tab w:val="center" w:pos="7380"/>
        </w:tabs>
        <w:spacing w:line="360" w:lineRule="auto"/>
        <w:jc w:val="both"/>
      </w:pPr>
      <w:r w:rsidRPr="00880E36">
        <w:t xml:space="preserve">Minden SKET, Külső és Belső Védelmi Terv gyakorlaton részt veszünk, külön szituációs begyakorló gyakorlatot szerveztünk minden egyes eseményre. A kiemelt fontosságú létesítményekbe és intézményekbe szervezett gyakorlatokon egy-egy esetben részt vesz a parancsnokság </w:t>
      </w:r>
      <w:r w:rsidRPr="00880E36">
        <w:t>teljes irányítói állománya</w:t>
      </w:r>
      <w:r w:rsidRPr="00880E36">
        <w:t xml:space="preserve"> is.</w:t>
      </w:r>
    </w:p>
    <w:p w:rsidR="00B421D8" w:rsidRPr="00880E36" w:rsidRDefault="00B421D8" w:rsidP="00B421D8">
      <w:pPr>
        <w:tabs>
          <w:tab w:val="center" w:pos="7380"/>
        </w:tabs>
        <w:spacing w:line="360" w:lineRule="auto"/>
        <w:jc w:val="both"/>
      </w:pPr>
    </w:p>
    <w:p w:rsidR="00B421D8" w:rsidRPr="00880E36" w:rsidRDefault="00B421D8" w:rsidP="00B421D8">
      <w:pPr>
        <w:spacing w:line="360" w:lineRule="auto"/>
        <w:jc w:val="both"/>
        <w:rPr>
          <w:b/>
          <w:bCs/>
        </w:rPr>
      </w:pPr>
      <w:r w:rsidRPr="00880E36">
        <w:rPr>
          <w:lang w:eastAsia="ar-SA"/>
        </w:rPr>
        <w:t>Az állomány éves továbbképzése az éves Továbbképzési Terv alapján került végrehajtásra. Továbbá rendkívüli oktatások keretében minden új információ (új vagy módosított intézkedés, szakmai továbbképzések előadásai, ellenőrzési szolgálat jelentései, stb.) feldolgozásra kerül</w:t>
      </w:r>
      <w:r w:rsidRPr="00880E36">
        <w:rPr>
          <w:lang w:eastAsia="ar-SA"/>
        </w:rPr>
        <w:t>nek.</w:t>
      </w:r>
    </w:p>
    <w:p w:rsidR="00B421D8" w:rsidRPr="00880E36" w:rsidRDefault="00B421D8" w:rsidP="0037325C">
      <w:pPr>
        <w:widowControl w:val="0"/>
        <w:tabs>
          <w:tab w:val="center" w:pos="6663"/>
        </w:tabs>
        <w:spacing w:line="276" w:lineRule="auto"/>
        <w:jc w:val="both"/>
        <w:rPr>
          <w:b/>
          <w:bCs/>
        </w:rPr>
      </w:pPr>
    </w:p>
    <w:p w:rsidR="00AB2746" w:rsidRDefault="00B421D8" w:rsidP="0037325C">
      <w:pPr>
        <w:widowControl w:val="0"/>
        <w:tabs>
          <w:tab w:val="center" w:pos="6663"/>
        </w:tabs>
        <w:spacing w:line="276" w:lineRule="auto"/>
        <w:jc w:val="both"/>
        <w:rPr>
          <w:b/>
          <w:bCs/>
        </w:rPr>
      </w:pPr>
      <w:r w:rsidRPr="00880E36">
        <w:rPr>
          <w:b/>
          <w:bCs/>
        </w:rPr>
        <w:lastRenderedPageBreak/>
        <w:t>II</w:t>
      </w:r>
      <w:r w:rsidR="0055467E" w:rsidRPr="00880E36">
        <w:rPr>
          <w:b/>
          <w:bCs/>
        </w:rPr>
        <w:t>I. Tűzvédelem, tűzmegelőzés</w:t>
      </w:r>
    </w:p>
    <w:p w:rsidR="00B3561C" w:rsidRPr="00880E36" w:rsidRDefault="00B3561C" w:rsidP="0037325C">
      <w:pPr>
        <w:widowControl w:val="0"/>
        <w:tabs>
          <w:tab w:val="center" w:pos="6663"/>
        </w:tabs>
        <w:spacing w:line="276" w:lineRule="auto"/>
        <w:jc w:val="both"/>
        <w:rPr>
          <w:i/>
          <w:iCs/>
          <w:u w:val="single"/>
        </w:rPr>
      </w:pPr>
    </w:p>
    <w:p w:rsidR="00214560" w:rsidRPr="00880E36" w:rsidRDefault="0055467E" w:rsidP="0037325C">
      <w:pPr>
        <w:widowControl w:val="0"/>
        <w:tabs>
          <w:tab w:val="center" w:pos="6663"/>
        </w:tabs>
        <w:spacing w:line="276" w:lineRule="auto"/>
        <w:jc w:val="both"/>
      </w:pPr>
      <w:r w:rsidRPr="00880E36">
        <w:t>A</w:t>
      </w:r>
      <w:r w:rsidR="00B3561C">
        <w:t>z</w:t>
      </w:r>
      <w:r w:rsidR="008B723B" w:rsidRPr="00880E36">
        <w:t xml:space="preserve"> </w:t>
      </w:r>
      <w:r w:rsidR="00B3561C">
        <w:t xml:space="preserve">Orosházi </w:t>
      </w:r>
      <w:r w:rsidR="008B723B" w:rsidRPr="00880E36">
        <w:t>H</w:t>
      </w:r>
      <w:r w:rsidR="00B3561C">
        <w:t>ivatásos Tűzoltóparancsnokság</w:t>
      </w:r>
      <w:r w:rsidR="008B723B" w:rsidRPr="00880E36">
        <w:t xml:space="preserve"> tűzmegelőzési tevékenysége</w:t>
      </w:r>
      <w:r w:rsidRPr="00880E36">
        <w:t xml:space="preserve"> keretében a kockázati helyszínek tűzvédelmi célellenőrzését, tűzcsapok ellenőrzését</w:t>
      </w:r>
      <w:r w:rsidR="008B723B" w:rsidRPr="00880E36">
        <w:t xml:space="preserve">, </w:t>
      </w:r>
      <w:r w:rsidRPr="00880E36">
        <w:t xml:space="preserve">hatósági bizonyítványok előkészítését </w:t>
      </w:r>
      <w:r w:rsidRPr="00880E36">
        <w:t>végzi</w:t>
      </w:r>
      <w:r w:rsidRPr="00880E36">
        <w:t>, káresetek során adatgyűjtést, helyszíni szemléket lefolytat.</w:t>
      </w:r>
    </w:p>
    <w:p w:rsidR="00214560" w:rsidRPr="00880E36" w:rsidRDefault="00AB2746" w:rsidP="0037325C">
      <w:pPr>
        <w:widowControl w:val="0"/>
        <w:tabs>
          <w:tab w:val="center" w:pos="6663"/>
        </w:tabs>
        <w:spacing w:line="276" w:lineRule="auto"/>
        <w:jc w:val="both"/>
      </w:pPr>
      <w:r w:rsidRPr="00880E36">
        <w:t>-</w:t>
      </w:r>
      <w:r w:rsidR="0055467E" w:rsidRPr="00880E36">
        <w:t xml:space="preserve"> A</w:t>
      </w:r>
      <w:r w:rsidRPr="00880E36">
        <w:t xml:space="preserve"> </w:t>
      </w:r>
      <w:r w:rsidR="008B723B" w:rsidRPr="00880E36">
        <w:t>megelőzést szolgáló rendezvények.</w:t>
      </w:r>
    </w:p>
    <w:p w:rsidR="00326A4A" w:rsidRPr="00880E36" w:rsidRDefault="00326A4A" w:rsidP="0037325C">
      <w:pPr>
        <w:widowControl w:val="0"/>
        <w:tabs>
          <w:tab w:val="center" w:pos="6663"/>
        </w:tabs>
        <w:spacing w:line="276" w:lineRule="auto"/>
        <w:jc w:val="both"/>
      </w:pPr>
    </w:p>
    <w:p w:rsidR="00326A4A" w:rsidRPr="00880E36" w:rsidRDefault="00B421D8" w:rsidP="0037325C">
      <w:pPr>
        <w:widowControl w:val="0"/>
        <w:tabs>
          <w:tab w:val="center" w:pos="6663"/>
        </w:tabs>
        <w:spacing w:line="276" w:lineRule="auto"/>
        <w:jc w:val="both"/>
        <w:rPr>
          <w:b/>
          <w:bCs/>
        </w:rPr>
      </w:pPr>
      <w:r w:rsidRPr="00880E36">
        <w:rPr>
          <w:b/>
          <w:bCs/>
        </w:rPr>
        <w:t>I</w:t>
      </w:r>
      <w:r w:rsidR="00326A4A" w:rsidRPr="00880E36">
        <w:rPr>
          <w:b/>
          <w:bCs/>
        </w:rPr>
        <w:t>V. Együttműködés</w:t>
      </w:r>
      <w:r w:rsidR="00521F76" w:rsidRPr="00880E36">
        <w:rPr>
          <w:b/>
          <w:bCs/>
        </w:rPr>
        <w:t xml:space="preserve"> a működési területen lévő </w:t>
      </w:r>
      <w:proofErr w:type="spellStart"/>
      <w:r w:rsidR="00521F76" w:rsidRPr="00880E36">
        <w:rPr>
          <w:b/>
          <w:bCs/>
        </w:rPr>
        <w:t>ÖTE-</w:t>
      </w:r>
      <w:r w:rsidR="00326A4A" w:rsidRPr="00880E36">
        <w:rPr>
          <w:b/>
          <w:bCs/>
        </w:rPr>
        <w:t>kel</w:t>
      </w:r>
      <w:proofErr w:type="spellEnd"/>
      <w:r w:rsidR="00326A4A" w:rsidRPr="00880E36">
        <w:rPr>
          <w:b/>
          <w:bCs/>
        </w:rPr>
        <w:t>, azok ér</w:t>
      </w:r>
      <w:r w:rsidR="00521F76" w:rsidRPr="00880E36">
        <w:rPr>
          <w:b/>
          <w:bCs/>
        </w:rPr>
        <w:t>tékelése:</w:t>
      </w:r>
    </w:p>
    <w:p w:rsidR="00521F76" w:rsidRPr="00880E36" w:rsidRDefault="00521F76" w:rsidP="0037325C">
      <w:pPr>
        <w:widowControl w:val="0"/>
        <w:tabs>
          <w:tab w:val="center" w:pos="6663"/>
        </w:tabs>
        <w:spacing w:line="276" w:lineRule="auto"/>
        <w:jc w:val="both"/>
        <w:rPr>
          <w:b/>
          <w:bCs/>
        </w:rPr>
      </w:pPr>
    </w:p>
    <w:p w:rsidR="00326A4A" w:rsidRPr="00880E36" w:rsidRDefault="00BD47A5" w:rsidP="0037325C">
      <w:pPr>
        <w:widowControl w:val="0"/>
        <w:tabs>
          <w:tab w:val="center" w:pos="6663"/>
        </w:tabs>
        <w:spacing w:line="276" w:lineRule="auto"/>
        <w:jc w:val="both"/>
        <w:rPr>
          <w:rFonts w:cs="Myriad Pro"/>
          <w:color w:val="000000"/>
        </w:rPr>
      </w:pPr>
      <w:r w:rsidRPr="00880E36">
        <w:rPr>
          <w:rFonts w:cs="Myriad Pro"/>
          <w:bCs/>
          <w:color w:val="000000"/>
        </w:rPr>
        <w:t>2018-ban</w:t>
      </w:r>
      <w:r w:rsidRPr="00880E36">
        <w:rPr>
          <w:rFonts w:cs="Myriad Pro"/>
          <w:bCs/>
          <w:i/>
          <w:color w:val="000000"/>
        </w:rPr>
        <w:t xml:space="preserve"> a</w:t>
      </w:r>
      <w:r w:rsidR="00521F76" w:rsidRPr="00880E36">
        <w:rPr>
          <w:rFonts w:cs="Myriad Pro"/>
          <w:bCs/>
          <w:i/>
          <w:color w:val="000000"/>
        </w:rPr>
        <w:t>z önkéntes tűzoltó egyesületek támogatásának, tűzoltó szakmai ellenőrzésének katasztrófavédelmi feladatairól</w:t>
      </w:r>
      <w:r w:rsidR="00521F76" w:rsidRPr="00880E36">
        <w:rPr>
          <w:rFonts w:cs="Myriad Pro"/>
          <w:b/>
          <w:bCs/>
          <w:color w:val="000000"/>
        </w:rPr>
        <w:t xml:space="preserve"> </w:t>
      </w:r>
      <w:r w:rsidR="00521F76" w:rsidRPr="00880E36">
        <w:rPr>
          <w:rFonts w:cs="Myriad Pro"/>
          <w:bCs/>
          <w:i/>
          <w:color w:val="000000"/>
        </w:rPr>
        <w:t xml:space="preserve">szóló </w:t>
      </w:r>
      <w:r w:rsidR="00521F76" w:rsidRPr="00880E36">
        <w:rPr>
          <w:rFonts w:cs="Myriad Pro"/>
          <w:bCs/>
          <w:color w:val="000000"/>
        </w:rPr>
        <w:t>7/2018. (VIII. 23.) BM Országos Katasztrófavédelmi Főigazgatói utasítás alapján megújításra kerültek az</w:t>
      </w:r>
      <w:r w:rsidR="00521F76" w:rsidRPr="00880E36">
        <w:rPr>
          <w:rFonts w:cs="Myriad Pro"/>
          <w:bCs/>
          <w:i/>
          <w:color w:val="000000"/>
        </w:rPr>
        <w:t xml:space="preserve"> </w:t>
      </w:r>
      <w:r w:rsidR="00521F76" w:rsidRPr="00880E36">
        <w:t>Együttműködési megállapodások.</w:t>
      </w:r>
      <w:r w:rsidRPr="00880E36">
        <w:t xml:space="preserve"> Minden évben, így 2019-ben is az egyesületekkel közösen ezen megállapodások felülvizsgálatra kerültek. </w:t>
      </w:r>
      <w:r w:rsidR="00521F76" w:rsidRPr="00880E36">
        <w:t xml:space="preserve">A megállapodás </w:t>
      </w:r>
      <w:r w:rsidR="0083519D" w:rsidRPr="00880E36">
        <w:t xml:space="preserve">során I-III. </w:t>
      </w:r>
      <w:proofErr w:type="gramStart"/>
      <w:r w:rsidR="0083519D" w:rsidRPr="00880E36">
        <w:t>kategóriába</w:t>
      </w:r>
      <w:proofErr w:type="gramEnd"/>
      <w:r w:rsidR="0083519D" w:rsidRPr="00880E36">
        <w:t xml:space="preserve"> kerülnek besorolásba az egyesületek. </w:t>
      </w:r>
      <w:r w:rsidR="00521F76" w:rsidRPr="00880E36">
        <w:rPr>
          <w:rFonts w:cs="Myriad Pro"/>
          <w:color w:val="000000"/>
        </w:rPr>
        <w:t xml:space="preserve">A kategória az ÖTE rendelkezésére álló erő-, eszközállomány alapján a következők szerint </w:t>
      </w:r>
      <w:r w:rsidR="0083519D" w:rsidRPr="00880E36">
        <w:rPr>
          <w:rFonts w:cs="Myriad Pro"/>
          <w:color w:val="000000"/>
        </w:rPr>
        <w:t>lett meg</w:t>
      </w:r>
      <w:r w:rsidR="00521F76" w:rsidRPr="00880E36">
        <w:rPr>
          <w:rFonts w:cs="Myriad Pro"/>
          <w:color w:val="000000"/>
        </w:rPr>
        <w:t>határoz</w:t>
      </w:r>
      <w:r w:rsidRPr="00880E36">
        <w:rPr>
          <w:rFonts w:cs="Myriad Pro"/>
          <w:color w:val="000000"/>
        </w:rPr>
        <w:t>va:</w:t>
      </w:r>
    </w:p>
    <w:p w:rsidR="0083519D" w:rsidRPr="00880E36" w:rsidRDefault="0083519D" w:rsidP="0037325C">
      <w:pPr>
        <w:widowControl w:val="0"/>
        <w:tabs>
          <w:tab w:val="center" w:pos="6663"/>
        </w:tabs>
        <w:spacing w:line="276" w:lineRule="auto"/>
        <w:jc w:val="both"/>
      </w:pPr>
    </w:p>
    <w:p w:rsidR="00521F76" w:rsidRPr="00880E36" w:rsidRDefault="00521F76" w:rsidP="00521F76">
      <w:pPr>
        <w:pStyle w:val="Listaszerbekezds"/>
        <w:widowControl w:val="0"/>
        <w:numPr>
          <w:ilvl w:val="0"/>
          <w:numId w:val="10"/>
        </w:numPr>
        <w:spacing w:line="276" w:lineRule="auto"/>
        <w:jc w:val="both"/>
      </w:pPr>
      <w:r w:rsidRPr="00880E36">
        <w:rPr>
          <w:color w:val="000000"/>
        </w:rPr>
        <w:t>Csanádapácai Önkéntes Tűzoltó Egyesület</w:t>
      </w:r>
      <w:r w:rsidR="0083519D" w:rsidRPr="00880E36">
        <w:rPr>
          <w:color w:val="000000"/>
        </w:rPr>
        <w:tab/>
      </w:r>
      <w:r w:rsidR="0083519D" w:rsidRPr="00880E36">
        <w:rPr>
          <w:color w:val="000000"/>
        </w:rPr>
        <w:tab/>
      </w:r>
      <w:r w:rsidR="0083519D" w:rsidRPr="00880E36">
        <w:rPr>
          <w:color w:val="000000"/>
        </w:rPr>
        <w:tab/>
      </w:r>
      <w:r w:rsidR="0083519D" w:rsidRPr="00880E36">
        <w:rPr>
          <w:color w:val="000000"/>
        </w:rPr>
        <w:tab/>
      </w:r>
      <w:r w:rsidR="0083519D" w:rsidRPr="00880E36">
        <w:rPr>
          <w:color w:val="000000"/>
        </w:rPr>
        <w:tab/>
        <w:t xml:space="preserve"> II.</w:t>
      </w:r>
    </w:p>
    <w:p w:rsidR="00521F76" w:rsidRPr="00880E36" w:rsidRDefault="00521F76" w:rsidP="00521F76">
      <w:pPr>
        <w:pStyle w:val="Listaszerbekezds"/>
        <w:widowControl w:val="0"/>
        <w:numPr>
          <w:ilvl w:val="0"/>
          <w:numId w:val="10"/>
        </w:numPr>
        <w:spacing w:line="276" w:lineRule="auto"/>
        <w:jc w:val="both"/>
      </w:pPr>
      <w:r w:rsidRPr="00880E36">
        <w:rPr>
          <w:color w:val="000000"/>
        </w:rPr>
        <w:t>Csorvás Város Önkéntes Tűzoltó Egyesület</w:t>
      </w:r>
      <w:r w:rsidR="0083519D" w:rsidRPr="00880E36">
        <w:rPr>
          <w:color w:val="000000"/>
        </w:rPr>
        <w:tab/>
      </w:r>
      <w:r w:rsidR="0083519D" w:rsidRPr="00880E36">
        <w:rPr>
          <w:color w:val="000000"/>
        </w:rPr>
        <w:tab/>
      </w:r>
      <w:r w:rsidR="0083519D" w:rsidRPr="00880E36">
        <w:rPr>
          <w:color w:val="000000"/>
        </w:rPr>
        <w:tab/>
      </w:r>
      <w:r w:rsidR="0083519D" w:rsidRPr="00880E36">
        <w:rPr>
          <w:color w:val="000000"/>
        </w:rPr>
        <w:tab/>
      </w:r>
      <w:r w:rsidR="0083519D" w:rsidRPr="00880E36">
        <w:rPr>
          <w:color w:val="000000"/>
        </w:rPr>
        <w:tab/>
        <w:t xml:space="preserve">  I.</w:t>
      </w:r>
    </w:p>
    <w:p w:rsidR="00521F76" w:rsidRPr="00880E36" w:rsidRDefault="00521F76" w:rsidP="00521F76">
      <w:pPr>
        <w:pStyle w:val="Listaszerbekezds"/>
        <w:widowControl w:val="0"/>
        <w:numPr>
          <w:ilvl w:val="0"/>
          <w:numId w:val="10"/>
        </w:numPr>
        <w:spacing w:line="276" w:lineRule="auto"/>
        <w:jc w:val="both"/>
      </w:pPr>
      <w:r w:rsidRPr="00880E36">
        <w:rPr>
          <w:color w:val="000000"/>
        </w:rPr>
        <w:t>Nagymágocs Nagyközségi Önkéntes Tűzoltó Közhasznú Egyesület</w:t>
      </w:r>
      <w:r w:rsidR="0083519D" w:rsidRPr="00880E36">
        <w:rPr>
          <w:color w:val="000000"/>
        </w:rPr>
        <w:tab/>
        <w:t xml:space="preserve">  I.</w:t>
      </w:r>
    </w:p>
    <w:p w:rsidR="00521F76" w:rsidRPr="00880E36" w:rsidRDefault="00521F76" w:rsidP="00521F76">
      <w:pPr>
        <w:pStyle w:val="Listaszerbekezds"/>
        <w:widowControl w:val="0"/>
        <w:numPr>
          <w:ilvl w:val="0"/>
          <w:numId w:val="10"/>
        </w:numPr>
        <w:spacing w:line="276" w:lineRule="auto"/>
        <w:jc w:val="both"/>
      </w:pPr>
      <w:r w:rsidRPr="00880E36">
        <w:rPr>
          <w:color w:val="000000"/>
        </w:rPr>
        <w:t>Nagyszénási Önkéntes Tűzoltó Egyesület</w:t>
      </w:r>
      <w:r w:rsidR="0083519D" w:rsidRPr="00880E36">
        <w:rPr>
          <w:color w:val="000000"/>
        </w:rPr>
        <w:tab/>
      </w:r>
      <w:r w:rsidR="0083519D" w:rsidRPr="00880E36">
        <w:rPr>
          <w:color w:val="000000"/>
        </w:rPr>
        <w:tab/>
      </w:r>
      <w:r w:rsidR="0083519D" w:rsidRPr="00880E36">
        <w:rPr>
          <w:color w:val="000000"/>
        </w:rPr>
        <w:tab/>
      </w:r>
      <w:r w:rsidR="0083519D" w:rsidRPr="00880E36">
        <w:rPr>
          <w:color w:val="000000"/>
        </w:rPr>
        <w:tab/>
      </w:r>
      <w:r w:rsidR="0083519D" w:rsidRPr="00880E36">
        <w:rPr>
          <w:color w:val="000000"/>
        </w:rPr>
        <w:tab/>
        <w:t xml:space="preserve"> II.</w:t>
      </w:r>
    </w:p>
    <w:p w:rsidR="00521F76" w:rsidRPr="00880E36" w:rsidRDefault="00521F76" w:rsidP="00521F76">
      <w:pPr>
        <w:pStyle w:val="Listaszerbekezds"/>
        <w:widowControl w:val="0"/>
        <w:numPr>
          <w:ilvl w:val="0"/>
          <w:numId w:val="10"/>
        </w:numPr>
        <w:spacing w:line="276" w:lineRule="auto"/>
        <w:jc w:val="both"/>
      </w:pPr>
      <w:r w:rsidRPr="00880E36">
        <w:rPr>
          <w:color w:val="000000"/>
        </w:rPr>
        <w:t>Pusztaföldvári Önkéntes Tűzoltó Egyesület</w:t>
      </w:r>
      <w:r w:rsidR="0083519D" w:rsidRPr="00880E36">
        <w:rPr>
          <w:color w:val="000000"/>
        </w:rPr>
        <w:tab/>
      </w:r>
      <w:r w:rsidR="0083519D" w:rsidRPr="00880E36">
        <w:rPr>
          <w:color w:val="000000"/>
        </w:rPr>
        <w:tab/>
      </w:r>
      <w:r w:rsidR="0083519D" w:rsidRPr="00880E36">
        <w:rPr>
          <w:color w:val="000000"/>
        </w:rPr>
        <w:tab/>
      </w:r>
      <w:r w:rsidR="0083519D" w:rsidRPr="00880E36">
        <w:rPr>
          <w:color w:val="000000"/>
        </w:rPr>
        <w:tab/>
      </w:r>
      <w:r w:rsidR="0083519D" w:rsidRPr="00880E36">
        <w:rPr>
          <w:color w:val="000000"/>
        </w:rPr>
        <w:tab/>
        <w:t>III.</w:t>
      </w:r>
    </w:p>
    <w:p w:rsidR="00521F76" w:rsidRPr="00880E36" w:rsidRDefault="00521F76" w:rsidP="00521F76">
      <w:pPr>
        <w:widowControl w:val="0"/>
        <w:tabs>
          <w:tab w:val="center" w:pos="6663"/>
        </w:tabs>
        <w:spacing w:line="276" w:lineRule="auto"/>
        <w:jc w:val="both"/>
        <w:rPr>
          <w:rFonts w:cs="Myriad Pro"/>
          <w:bCs/>
          <w:i/>
          <w:color w:val="000000"/>
        </w:rPr>
      </w:pPr>
    </w:p>
    <w:p w:rsidR="00521F76" w:rsidRPr="00880E36" w:rsidRDefault="00521F76" w:rsidP="0077099A">
      <w:pPr>
        <w:widowControl w:val="0"/>
        <w:tabs>
          <w:tab w:val="center" w:pos="6663"/>
        </w:tabs>
        <w:spacing w:line="276" w:lineRule="auto"/>
        <w:jc w:val="both"/>
      </w:pPr>
      <w:r w:rsidRPr="00880E36">
        <w:t xml:space="preserve">A </w:t>
      </w:r>
      <w:r w:rsidRPr="00880E36">
        <w:rPr>
          <w:rFonts w:cs="Myriad Pro"/>
          <w:bCs/>
          <w:color w:val="000000"/>
        </w:rPr>
        <w:t xml:space="preserve">BM Országos Katasztrófavédelmi Főigazgatóság és a </w:t>
      </w:r>
      <w:r w:rsidRPr="00880E36">
        <w:t>Magyar Tűzoltó Szövetség közösen 2019-ben is kiírt pályázatán mind az öt ÖTE sikeres pályázatot nyújtott be</w:t>
      </w:r>
      <w:r w:rsidR="00C1586B" w:rsidRPr="00880E36">
        <w:t xml:space="preserve">, melynek eredményeként </w:t>
      </w:r>
      <w:r w:rsidR="0077099A" w:rsidRPr="00880E36">
        <w:t xml:space="preserve">a pályázaton megítélt támogatás </w:t>
      </w:r>
      <w:r w:rsidR="00C1586B" w:rsidRPr="00880E36">
        <w:t xml:space="preserve">összesen </w:t>
      </w:r>
      <w:r w:rsidR="0077099A" w:rsidRPr="00880E36">
        <w:t xml:space="preserve">4.125.057 Ft. </w:t>
      </w:r>
      <w:r w:rsidR="00C1586B" w:rsidRPr="00880E36">
        <w:t>A megítélt összegek elszámolása időben megtörténtek, a megnyert eszközök kiosztásra kerültek.</w:t>
      </w:r>
    </w:p>
    <w:p w:rsidR="00521F76" w:rsidRPr="00880E36" w:rsidRDefault="00554DE8" w:rsidP="0037325C">
      <w:pPr>
        <w:widowControl w:val="0"/>
        <w:tabs>
          <w:tab w:val="center" w:pos="6663"/>
        </w:tabs>
        <w:spacing w:line="276" w:lineRule="auto"/>
        <w:jc w:val="both"/>
      </w:pPr>
      <w:r w:rsidRPr="00880E36">
        <w:t xml:space="preserve">Az egyesületekkel való kapcsolattartásunk folyamatos. Gyakorlatok tartásánál, káresetek felszámolásakor a technikai felszereltségüknek megfelelő feladat </w:t>
      </w:r>
      <w:r w:rsidR="00BD47A5" w:rsidRPr="00880E36">
        <w:t>kiosztásban részesülnek, melyeket a tőlük elvárható módon kiválóan végrehajtanak.</w:t>
      </w:r>
    </w:p>
    <w:p w:rsidR="0055467E" w:rsidRPr="00880E36" w:rsidRDefault="0055467E" w:rsidP="0037325C">
      <w:pPr>
        <w:widowControl w:val="0"/>
        <w:tabs>
          <w:tab w:val="center" w:pos="6663"/>
        </w:tabs>
        <w:spacing w:line="276" w:lineRule="auto"/>
        <w:jc w:val="both"/>
      </w:pPr>
      <w:r w:rsidRPr="00880E36">
        <w:t>A</w:t>
      </w:r>
      <w:r w:rsidRPr="00880E36">
        <w:t>z Önkéntes Tűzoltó Egyesületekkel kötött együttműködések szorosabbá tétele kiemelt szakmai feladatként került meghatározásra, felmérésre kerültek az önálló beavatkozás lehetőségi és az ahhoz szükséges beruházások hiányosságok megszüntetésének feltételei. Az egyesületek és a hivatásos egységek együttműködésének szorosabbá tétele érdekében közös gyakorlatok, rendszeres szakmai támog</w:t>
      </w:r>
      <w:r w:rsidRPr="00880E36">
        <w:t>atások, egyeztetések történtek.</w:t>
      </w:r>
    </w:p>
    <w:p w:rsidR="0055467E" w:rsidRPr="00880E36" w:rsidRDefault="0055467E" w:rsidP="0037325C">
      <w:pPr>
        <w:widowControl w:val="0"/>
        <w:tabs>
          <w:tab w:val="center" w:pos="6663"/>
        </w:tabs>
        <w:spacing w:line="276" w:lineRule="auto"/>
        <w:jc w:val="both"/>
        <w:rPr>
          <w:b/>
          <w:bCs/>
        </w:rPr>
      </w:pPr>
    </w:p>
    <w:p w:rsidR="00326A4A" w:rsidRPr="00880E36" w:rsidRDefault="0029289A" w:rsidP="0037325C">
      <w:pPr>
        <w:widowControl w:val="0"/>
        <w:tabs>
          <w:tab w:val="center" w:pos="6663"/>
        </w:tabs>
        <w:spacing w:line="276" w:lineRule="auto"/>
        <w:jc w:val="both"/>
        <w:rPr>
          <w:b/>
          <w:bCs/>
        </w:rPr>
      </w:pPr>
      <w:r w:rsidRPr="00880E36">
        <w:rPr>
          <w:b/>
          <w:bCs/>
        </w:rPr>
        <w:t>V</w:t>
      </w:r>
      <w:r w:rsidR="00326A4A" w:rsidRPr="00880E36">
        <w:rPr>
          <w:b/>
          <w:bCs/>
        </w:rPr>
        <w:t>. A polgári védelmi feladatok ellátása</w:t>
      </w:r>
    </w:p>
    <w:p w:rsidR="00326A4A" w:rsidRPr="00880E36" w:rsidRDefault="00326A4A" w:rsidP="0037325C">
      <w:pPr>
        <w:widowControl w:val="0"/>
        <w:tabs>
          <w:tab w:val="center" w:pos="6663"/>
        </w:tabs>
        <w:spacing w:line="276" w:lineRule="auto"/>
        <w:jc w:val="both"/>
      </w:pPr>
    </w:p>
    <w:p w:rsidR="00D7344A" w:rsidRPr="00880E36" w:rsidRDefault="00D7344A" w:rsidP="0037325C">
      <w:pPr>
        <w:widowControl w:val="0"/>
        <w:tabs>
          <w:tab w:val="center" w:pos="6663"/>
        </w:tabs>
        <w:spacing w:line="276" w:lineRule="auto"/>
        <w:jc w:val="both"/>
        <w:rPr>
          <w:color w:val="000000"/>
        </w:rPr>
      </w:pPr>
      <w:r w:rsidRPr="00880E36">
        <w:rPr>
          <w:color w:val="000000"/>
        </w:rPr>
        <w:t xml:space="preserve">Polgári védelmi szempontból </w:t>
      </w:r>
      <w:r w:rsidR="00650E10" w:rsidRPr="00880E36">
        <w:rPr>
          <w:color w:val="000000"/>
        </w:rPr>
        <w:t xml:space="preserve">a tűzoltóság </w:t>
      </w:r>
      <w:r w:rsidRPr="00880E36">
        <w:rPr>
          <w:color w:val="000000"/>
        </w:rPr>
        <w:t xml:space="preserve">illetékességi területe </w:t>
      </w:r>
      <w:r w:rsidRPr="00880E36">
        <w:rPr>
          <w:i/>
        </w:rPr>
        <w:t>a katasztrófavédelemről és a hozzá kapcsolódó egyes törvények módosításáról szóló 2011. évi CXXVIII. törvény végrehajtásáról</w:t>
      </w:r>
      <w:r w:rsidRPr="00880E36">
        <w:rPr>
          <w:color w:val="000000"/>
        </w:rPr>
        <w:t xml:space="preserve"> szóló </w:t>
      </w:r>
      <w:r w:rsidRPr="00880E36">
        <w:t>234/2011. (XI. 10.) Korm. rendelet alapján</w:t>
      </w:r>
      <w:r w:rsidRPr="00880E36">
        <w:rPr>
          <w:color w:val="000000"/>
        </w:rPr>
        <w:t xml:space="preserve"> megegyezik az Orosházi Járás közigazgatási területével, amely 8 települést azon belül 71718 hektár területet és 47659 fő lakónépességet foglal magába.</w:t>
      </w:r>
    </w:p>
    <w:p w:rsidR="00D7344A" w:rsidRPr="00880E36" w:rsidRDefault="00D7344A" w:rsidP="0037325C">
      <w:pPr>
        <w:widowControl w:val="0"/>
        <w:tabs>
          <w:tab w:val="center" w:pos="6663"/>
        </w:tabs>
        <w:spacing w:line="276" w:lineRule="auto"/>
        <w:jc w:val="both"/>
        <w:rPr>
          <w:color w:val="000000"/>
        </w:rPr>
      </w:pPr>
    </w:p>
    <w:p w:rsidR="00AF326E" w:rsidRPr="00880E36" w:rsidRDefault="00D7344A" w:rsidP="0037325C">
      <w:pPr>
        <w:widowControl w:val="0"/>
        <w:tabs>
          <w:tab w:val="center" w:pos="6663"/>
        </w:tabs>
        <w:spacing w:line="276" w:lineRule="auto"/>
        <w:jc w:val="both"/>
      </w:pPr>
      <w:r w:rsidRPr="00880E36">
        <w:rPr>
          <w:noProof/>
        </w:rPr>
        <w:lastRenderedPageBreak/>
        <w:drawing>
          <wp:inline distT="0" distB="0" distL="0" distR="0" wp14:anchorId="46F74ECB" wp14:editId="32DFBAB0">
            <wp:extent cx="5760000" cy="2880000"/>
            <wp:effectExtent l="0" t="0" r="12700" b="15875"/>
            <wp:docPr id="17" name="Diagram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7344A" w:rsidRPr="00880E36" w:rsidRDefault="00D7344A" w:rsidP="0037325C">
      <w:pPr>
        <w:widowControl w:val="0"/>
        <w:tabs>
          <w:tab w:val="center" w:pos="6663"/>
        </w:tabs>
        <w:spacing w:line="276" w:lineRule="auto"/>
        <w:jc w:val="both"/>
      </w:pPr>
    </w:p>
    <w:p w:rsidR="00D7344A" w:rsidRPr="00880E36" w:rsidRDefault="00D7344A" w:rsidP="0037325C">
      <w:pPr>
        <w:widowControl w:val="0"/>
        <w:tabs>
          <w:tab w:val="center" w:pos="6663"/>
        </w:tabs>
        <w:spacing w:line="276" w:lineRule="auto"/>
        <w:jc w:val="both"/>
      </w:pPr>
      <w:r w:rsidRPr="00880E36">
        <w:rPr>
          <w:noProof/>
        </w:rPr>
        <w:drawing>
          <wp:inline distT="0" distB="0" distL="0" distR="0" wp14:anchorId="6E159E0E" wp14:editId="312DF43F">
            <wp:extent cx="5760000" cy="2880000"/>
            <wp:effectExtent l="0" t="0" r="12700" b="15875"/>
            <wp:docPr id="18" name="Diagram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AF326E" w:rsidRPr="00880E36" w:rsidRDefault="00AF326E" w:rsidP="0037325C">
      <w:pPr>
        <w:widowControl w:val="0"/>
        <w:tabs>
          <w:tab w:val="center" w:pos="6663"/>
        </w:tabs>
        <w:spacing w:line="276" w:lineRule="auto"/>
        <w:jc w:val="both"/>
      </w:pPr>
    </w:p>
    <w:p w:rsidR="00B56B6D" w:rsidRPr="00880E36" w:rsidRDefault="00B56B6D" w:rsidP="00B56B6D">
      <w:pPr>
        <w:spacing w:line="360" w:lineRule="auto"/>
        <w:jc w:val="both"/>
        <w:rPr>
          <w:lang w:eastAsia="ar-SA"/>
        </w:rPr>
      </w:pPr>
      <w:r w:rsidRPr="00880E36">
        <w:rPr>
          <w:lang w:eastAsia="ar-SA"/>
        </w:rPr>
        <w:t>A Polgári Védelmi szakterület feladatait az Orosházi Katasztrófavédelmi Kirendeltség Polgári Védelmi Felügyelőjének szakmai irányítása mellett végzi a parancsnokság.</w:t>
      </w:r>
    </w:p>
    <w:p w:rsidR="00B56B6D" w:rsidRPr="00880E36" w:rsidRDefault="00B56B6D" w:rsidP="00B56B6D">
      <w:pPr>
        <w:spacing w:before="120" w:after="120"/>
      </w:pPr>
      <w:r w:rsidRPr="00880E36">
        <w:t>- Téli rezsicsökkentés helyszíni vizsgálat</w:t>
      </w:r>
      <w:r w:rsidRPr="00880E36">
        <w:tab/>
      </w:r>
      <w:r w:rsidRPr="00880E36">
        <w:tab/>
      </w:r>
      <w:r w:rsidRPr="00880E36">
        <w:tab/>
      </w:r>
      <w:r w:rsidRPr="00880E36">
        <w:tab/>
      </w:r>
      <w:r w:rsidRPr="00880E36">
        <w:tab/>
      </w:r>
      <w:r w:rsidRPr="00880E36">
        <w:tab/>
      </w:r>
      <w:r w:rsidRPr="00880E36">
        <w:tab/>
        <w:t>66 db</w:t>
      </w:r>
    </w:p>
    <w:p w:rsidR="00B56B6D" w:rsidRPr="00880E36" w:rsidRDefault="00B56B6D" w:rsidP="00B56B6D">
      <w:pPr>
        <w:spacing w:before="120" w:after="120"/>
        <w:rPr>
          <w:lang w:eastAsia="ar-SA"/>
        </w:rPr>
      </w:pPr>
      <w:r w:rsidRPr="00880E36">
        <w:rPr>
          <w:lang w:eastAsia="ar-SA"/>
        </w:rPr>
        <w:t>- Csapadékvíz elvezetők helyszíni szemléje</w:t>
      </w:r>
      <w:r w:rsidRPr="00880E36">
        <w:rPr>
          <w:lang w:eastAsia="ar-SA"/>
        </w:rPr>
        <w:tab/>
        <w:t>(tavaszi, őszi)</w:t>
      </w:r>
      <w:r w:rsidRPr="00880E36">
        <w:rPr>
          <w:lang w:eastAsia="ar-SA"/>
        </w:rPr>
        <w:tab/>
      </w:r>
      <w:r w:rsidRPr="00880E36">
        <w:rPr>
          <w:lang w:eastAsia="ar-SA"/>
        </w:rPr>
        <w:tab/>
      </w:r>
      <w:r w:rsidRPr="00880E36">
        <w:rPr>
          <w:lang w:eastAsia="ar-SA"/>
        </w:rPr>
        <w:tab/>
      </w:r>
      <w:r w:rsidRPr="00880E36">
        <w:rPr>
          <w:lang w:eastAsia="ar-SA"/>
        </w:rPr>
        <w:tab/>
      </w:r>
      <w:r w:rsidRPr="00880E36">
        <w:rPr>
          <w:lang w:eastAsia="ar-SA"/>
        </w:rPr>
        <w:tab/>
        <w:t>23 db</w:t>
      </w:r>
    </w:p>
    <w:p w:rsidR="00B56B6D" w:rsidRPr="00880E36" w:rsidRDefault="00B56B6D" w:rsidP="00B56B6D">
      <w:pPr>
        <w:spacing w:before="120" w:after="120"/>
        <w:rPr>
          <w:lang w:eastAsia="ar-SA"/>
        </w:rPr>
      </w:pPr>
      <w:r w:rsidRPr="00880E36">
        <w:rPr>
          <w:lang w:eastAsia="ar-SA"/>
        </w:rPr>
        <w:t xml:space="preserve">- </w:t>
      </w:r>
      <w:proofErr w:type="spellStart"/>
      <w:r w:rsidRPr="00880E36">
        <w:rPr>
          <w:lang w:eastAsia="ar-SA"/>
        </w:rPr>
        <w:t>Veszélyelhárítási</w:t>
      </w:r>
      <w:proofErr w:type="spellEnd"/>
      <w:r w:rsidRPr="00880E36">
        <w:rPr>
          <w:lang w:eastAsia="ar-SA"/>
        </w:rPr>
        <w:t xml:space="preserve"> Tervek pontosítása</w:t>
      </w:r>
      <w:r w:rsidRPr="00880E36">
        <w:rPr>
          <w:lang w:eastAsia="ar-SA"/>
        </w:rPr>
        <w:tab/>
      </w:r>
      <w:r w:rsidRPr="00880E36">
        <w:rPr>
          <w:lang w:eastAsia="ar-SA"/>
        </w:rPr>
        <w:tab/>
      </w:r>
      <w:r w:rsidRPr="00880E36">
        <w:rPr>
          <w:lang w:eastAsia="ar-SA"/>
        </w:rPr>
        <w:tab/>
      </w:r>
      <w:r w:rsidRPr="00880E36">
        <w:rPr>
          <w:lang w:eastAsia="ar-SA"/>
        </w:rPr>
        <w:tab/>
      </w:r>
      <w:r w:rsidRPr="00880E36">
        <w:rPr>
          <w:lang w:eastAsia="ar-SA"/>
        </w:rPr>
        <w:tab/>
      </w:r>
      <w:r w:rsidRPr="00880E36">
        <w:rPr>
          <w:lang w:eastAsia="ar-SA"/>
        </w:rPr>
        <w:tab/>
      </w:r>
      <w:r w:rsidRPr="00880E36">
        <w:rPr>
          <w:lang w:eastAsia="ar-SA"/>
        </w:rPr>
        <w:tab/>
        <w:t>8 db</w:t>
      </w:r>
    </w:p>
    <w:p w:rsidR="00B56B6D" w:rsidRPr="00880E36" w:rsidRDefault="00B56B6D" w:rsidP="00B56B6D">
      <w:pPr>
        <w:spacing w:before="120" w:after="120"/>
        <w:rPr>
          <w:lang w:eastAsia="ar-SA"/>
        </w:rPr>
      </w:pPr>
      <w:r w:rsidRPr="00880E36">
        <w:rPr>
          <w:lang w:eastAsia="ar-SA"/>
        </w:rPr>
        <w:t xml:space="preserve">- Megalakítási tervek pontosítása </w:t>
      </w:r>
      <w:r w:rsidRPr="00880E36">
        <w:rPr>
          <w:lang w:eastAsia="ar-SA"/>
        </w:rPr>
        <w:tab/>
      </w:r>
      <w:r w:rsidRPr="00880E36">
        <w:rPr>
          <w:lang w:eastAsia="ar-SA"/>
        </w:rPr>
        <w:tab/>
      </w:r>
      <w:r w:rsidRPr="00880E36">
        <w:rPr>
          <w:lang w:eastAsia="ar-SA"/>
        </w:rPr>
        <w:tab/>
      </w:r>
      <w:r w:rsidRPr="00880E36">
        <w:rPr>
          <w:lang w:eastAsia="ar-SA"/>
        </w:rPr>
        <w:tab/>
      </w:r>
      <w:r w:rsidRPr="00880E36">
        <w:rPr>
          <w:lang w:eastAsia="ar-SA"/>
        </w:rPr>
        <w:tab/>
      </w:r>
      <w:r w:rsidRPr="00880E36">
        <w:rPr>
          <w:lang w:eastAsia="ar-SA"/>
        </w:rPr>
        <w:tab/>
      </w:r>
      <w:r w:rsidRPr="00880E36">
        <w:rPr>
          <w:lang w:eastAsia="ar-SA"/>
        </w:rPr>
        <w:tab/>
      </w:r>
      <w:r w:rsidRPr="00880E36">
        <w:rPr>
          <w:lang w:eastAsia="ar-SA"/>
        </w:rPr>
        <w:tab/>
        <w:t>8 db</w:t>
      </w:r>
    </w:p>
    <w:p w:rsidR="00B56B6D" w:rsidRPr="00880E36" w:rsidRDefault="00B56B6D" w:rsidP="00B56B6D">
      <w:pPr>
        <w:spacing w:before="120" w:after="120"/>
        <w:rPr>
          <w:lang w:eastAsia="ar-SA"/>
        </w:rPr>
      </w:pPr>
      <w:r w:rsidRPr="00880E36">
        <w:rPr>
          <w:lang w:eastAsia="ar-SA"/>
        </w:rPr>
        <w:t>- Riasztási tervek pontosítása</w:t>
      </w:r>
      <w:r w:rsidRPr="00880E36">
        <w:rPr>
          <w:lang w:eastAsia="ar-SA"/>
        </w:rPr>
        <w:tab/>
      </w:r>
      <w:r w:rsidRPr="00880E36">
        <w:rPr>
          <w:lang w:eastAsia="ar-SA"/>
        </w:rPr>
        <w:tab/>
      </w:r>
      <w:r w:rsidRPr="00880E36">
        <w:rPr>
          <w:lang w:eastAsia="ar-SA"/>
        </w:rPr>
        <w:tab/>
      </w:r>
      <w:r w:rsidRPr="00880E36">
        <w:rPr>
          <w:lang w:eastAsia="ar-SA"/>
        </w:rPr>
        <w:tab/>
      </w:r>
      <w:r w:rsidRPr="00880E36">
        <w:rPr>
          <w:lang w:eastAsia="ar-SA"/>
        </w:rPr>
        <w:tab/>
      </w:r>
      <w:r w:rsidRPr="00880E36">
        <w:rPr>
          <w:lang w:eastAsia="ar-SA"/>
        </w:rPr>
        <w:tab/>
      </w:r>
      <w:r w:rsidRPr="00880E36">
        <w:rPr>
          <w:lang w:eastAsia="ar-SA"/>
        </w:rPr>
        <w:tab/>
      </w:r>
      <w:r w:rsidRPr="00880E36">
        <w:rPr>
          <w:lang w:eastAsia="ar-SA"/>
        </w:rPr>
        <w:tab/>
      </w:r>
      <w:r w:rsidRPr="00880E36">
        <w:rPr>
          <w:lang w:eastAsia="ar-SA"/>
        </w:rPr>
        <w:tab/>
        <w:t>8 db</w:t>
      </w:r>
    </w:p>
    <w:p w:rsidR="00B56B6D" w:rsidRPr="00880E36" w:rsidRDefault="00B56B6D" w:rsidP="00B56B6D">
      <w:pPr>
        <w:spacing w:before="120" w:after="120"/>
        <w:rPr>
          <w:lang w:eastAsia="ar-SA"/>
        </w:rPr>
      </w:pPr>
      <w:r w:rsidRPr="00880E36">
        <w:rPr>
          <w:lang w:eastAsia="ar-SA"/>
        </w:rPr>
        <w:t>- Befogadási tervek pontosítása</w:t>
      </w:r>
      <w:r w:rsidRPr="00880E36">
        <w:rPr>
          <w:lang w:eastAsia="ar-SA"/>
        </w:rPr>
        <w:tab/>
      </w:r>
      <w:r w:rsidRPr="00880E36">
        <w:rPr>
          <w:lang w:eastAsia="ar-SA"/>
        </w:rPr>
        <w:tab/>
      </w:r>
      <w:r w:rsidRPr="00880E36">
        <w:rPr>
          <w:lang w:eastAsia="ar-SA"/>
        </w:rPr>
        <w:tab/>
      </w:r>
      <w:r w:rsidRPr="00880E36">
        <w:rPr>
          <w:lang w:eastAsia="ar-SA"/>
        </w:rPr>
        <w:tab/>
      </w:r>
      <w:r w:rsidRPr="00880E36">
        <w:rPr>
          <w:lang w:eastAsia="ar-SA"/>
        </w:rPr>
        <w:tab/>
      </w:r>
      <w:r w:rsidRPr="00880E36">
        <w:rPr>
          <w:lang w:eastAsia="ar-SA"/>
        </w:rPr>
        <w:tab/>
      </w:r>
      <w:r w:rsidRPr="00880E36">
        <w:rPr>
          <w:lang w:eastAsia="ar-SA"/>
        </w:rPr>
        <w:tab/>
      </w:r>
      <w:r w:rsidRPr="00880E36">
        <w:rPr>
          <w:lang w:eastAsia="ar-SA"/>
        </w:rPr>
        <w:tab/>
        <w:t>2 db</w:t>
      </w:r>
    </w:p>
    <w:p w:rsidR="00B56B6D" w:rsidRPr="00880E36" w:rsidRDefault="00B56B6D" w:rsidP="00B56B6D">
      <w:pPr>
        <w:spacing w:before="120" w:after="120"/>
        <w:jc w:val="both"/>
        <w:rPr>
          <w:lang w:eastAsia="ar-SA"/>
        </w:rPr>
      </w:pPr>
      <w:r w:rsidRPr="00880E36">
        <w:rPr>
          <w:lang w:eastAsia="ar-SA"/>
        </w:rPr>
        <w:t>- Települési köteles polgári védelmi szervezet szakképzése</w:t>
      </w:r>
      <w:r w:rsidRPr="00880E36">
        <w:rPr>
          <w:lang w:eastAsia="ar-SA"/>
        </w:rPr>
        <w:tab/>
      </w:r>
      <w:r w:rsidRPr="00880E36">
        <w:rPr>
          <w:lang w:eastAsia="ar-SA"/>
        </w:rPr>
        <w:tab/>
      </w:r>
      <w:r w:rsidRPr="00880E36">
        <w:rPr>
          <w:lang w:eastAsia="ar-SA"/>
        </w:rPr>
        <w:tab/>
      </w:r>
      <w:r w:rsidRPr="00880E36">
        <w:rPr>
          <w:lang w:eastAsia="ar-SA"/>
        </w:rPr>
        <w:tab/>
      </w:r>
      <w:r w:rsidRPr="00880E36">
        <w:rPr>
          <w:lang w:eastAsia="ar-SA"/>
        </w:rPr>
        <w:tab/>
        <w:t>8 db</w:t>
      </w:r>
    </w:p>
    <w:p w:rsidR="00B56B6D" w:rsidRPr="00880E36" w:rsidRDefault="00B56B6D" w:rsidP="00B56B6D">
      <w:pPr>
        <w:spacing w:before="120" w:after="120"/>
        <w:jc w:val="both"/>
        <w:rPr>
          <w:lang w:eastAsia="ar-SA"/>
        </w:rPr>
      </w:pPr>
      <w:r w:rsidRPr="00880E36">
        <w:rPr>
          <w:lang w:eastAsia="ar-SA"/>
        </w:rPr>
        <w:t>- Települési köteles polgári védelmi szervezetek riasztási gyakorlata</w:t>
      </w:r>
      <w:r w:rsidRPr="00880E36">
        <w:rPr>
          <w:lang w:eastAsia="ar-SA"/>
        </w:rPr>
        <w:tab/>
      </w:r>
      <w:r w:rsidRPr="00880E36">
        <w:rPr>
          <w:lang w:eastAsia="ar-SA"/>
        </w:rPr>
        <w:tab/>
      </w:r>
      <w:r w:rsidRPr="00880E36">
        <w:rPr>
          <w:lang w:eastAsia="ar-SA"/>
        </w:rPr>
        <w:tab/>
        <w:t>8 db</w:t>
      </w:r>
    </w:p>
    <w:p w:rsidR="00B56B6D" w:rsidRPr="00880E36" w:rsidRDefault="00B56B6D" w:rsidP="00B56B6D">
      <w:pPr>
        <w:spacing w:before="120" w:after="120"/>
        <w:jc w:val="both"/>
        <w:rPr>
          <w:lang w:eastAsia="ar-SA"/>
        </w:rPr>
      </w:pPr>
      <w:r w:rsidRPr="00880E36">
        <w:rPr>
          <w:lang w:eastAsia="ar-SA"/>
        </w:rPr>
        <w:lastRenderedPageBreak/>
        <w:t>- Települések katasztrófavédelmi osztályba sorolásának felülvizsgálata</w:t>
      </w:r>
      <w:r w:rsidRPr="00880E36">
        <w:rPr>
          <w:lang w:eastAsia="ar-SA"/>
        </w:rPr>
        <w:tab/>
      </w:r>
      <w:r w:rsidRPr="00880E36">
        <w:rPr>
          <w:lang w:eastAsia="ar-SA"/>
        </w:rPr>
        <w:tab/>
      </w:r>
      <w:r w:rsidRPr="00880E36">
        <w:rPr>
          <w:lang w:eastAsia="ar-SA"/>
        </w:rPr>
        <w:tab/>
        <w:t>8 db</w:t>
      </w:r>
    </w:p>
    <w:p w:rsidR="00B56B6D" w:rsidRPr="00880E36" w:rsidRDefault="00B56B6D" w:rsidP="00B56B6D">
      <w:pPr>
        <w:spacing w:before="120" w:after="120"/>
        <w:rPr>
          <w:lang w:eastAsia="ar-SA"/>
        </w:rPr>
      </w:pPr>
      <w:r w:rsidRPr="00880E36">
        <w:rPr>
          <w:lang w:eastAsia="ar-SA"/>
        </w:rPr>
        <w:t>- Közbiztonsági referensi értekezlet</w:t>
      </w:r>
      <w:r w:rsidRPr="00880E36">
        <w:rPr>
          <w:lang w:eastAsia="ar-SA"/>
        </w:rPr>
        <w:tab/>
      </w:r>
      <w:r w:rsidRPr="00880E36">
        <w:rPr>
          <w:lang w:eastAsia="ar-SA"/>
        </w:rPr>
        <w:tab/>
      </w:r>
      <w:r w:rsidRPr="00880E36">
        <w:rPr>
          <w:lang w:eastAsia="ar-SA"/>
        </w:rPr>
        <w:tab/>
      </w:r>
      <w:r w:rsidRPr="00880E36">
        <w:rPr>
          <w:lang w:eastAsia="ar-SA"/>
        </w:rPr>
        <w:tab/>
      </w:r>
      <w:r w:rsidRPr="00880E36">
        <w:rPr>
          <w:lang w:eastAsia="ar-SA"/>
        </w:rPr>
        <w:tab/>
      </w:r>
      <w:r w:rsidRPr="00880E36">
        <w:rPr>
          <w:lang w:eastAsia="ar-SA"/>
        </w:rPr>
        <w:tab/>
      </w:r>
      <w:r w:rsidRPr="00880E36">
        <w:rPr>
          <w:lang w:eastAsia="ar-SA"/>
        </w:rPr>
        <w:tab/>
      </w:r>
      <w:r w:rsidRPr="00880E36">
        <w:rPr>
          <w:lang w:eastAsia="ar-SA"/>
        </w:rPr>
        <w:tab/>
        <w:t>2 db</w:t>
      </w:r>
    </w:p>
    <w:p w:rsidR="00B56B6D" w:rsidRPr="00880E36" w:rsidRDefault="00B56B6D" w:rsidP="00B56B6D">
      <w:pPr>
        <w:spacing w:before="120" w:after="120"/>
        <w:rPr>
          <w:lang w:eastAsia="ar-SA"/>
        </w:rPr>
      </w:pPr>
      <w:r w:rsidRPr="00880E36">
        <w:rPr>
          <w:lang w:eastAsia="ar-SA"/>
        </w:rPr>
        <w:t>- Téli kockázati helyszínek és a határozattal lebiztosított erőgépek ellenőrzése.</w:t>
      </w:r>
      <w:r w:rsidRPr="00880E36">
        <w:rPr>
          <w:lang w:eastAsia="ar-SA"/>
        </w:rPr>
        <w:tab/>
        <w:t xml:space="preserve"> </w:t>
      </w:r>
      <w:r w:rsidRPr="00880E36">
        <w:rPr>
          <w:lang w:eastAsia="ar-SA"/>
        </w:rPr>
        <w:tab/>
        <w:t>4 db</w:t>
      </w:r>
    </w:p>
    <w:p w:rsidR="00B56B6D" w:rsidRPr="00880E36" w:rsidRDefault="00B56B6D" w:rsidP="00B56B6D">
      <w:pPr>
        <w:spacing w:before="120" w:after="120"/>
        <w:rPr>
          <w:lang w:eastAsia="ar-SA"/>
        </w:rPr>
      </w:pPr>
      <w:r w:rsidRPr="00880E36">
        <w:rPr>
          <w:lang w:eastAsia="ar-SA"/>
        </w:rPr>
        <w:t>- Lakossági fórum</w:t>
      </w:r>
      <w:r w:rsidRPr="00880E36">
        <w:rPr>
          <w:lang w:eastAsia="ar-SA"/>
        </w:rPr>
        <w:tab/>
      </w:r>
      <w:r w:rsidRPr="00880E36">
        <w:rPr>
          <w:lang w:eastAsia="ar-SA"/>
        </w:rPr>
        <w:tab/>
      </w:r>
      <w:r w:rsidRPr="00880E36">
        <w:rPr>
          <w:lang w:eastAsia="ar-SA"/>
        </w:rPr>
        <w:tab/>
      </w:r>
      <w:r w:rsidRPr="00880E36">
        <w:rPr>
          <w:lang w:eastAsia="ar-SA"/>
        </w:rPr>
        <w:tab/>
      </w:r>
      <w:r w:rsidRPr="00880E36">
        <w:rPr>
          <w:lang w:eastAsia="ar-SA"/>
        </w:rPr>
        <w:tab/>
      </w:r>
      <w:r w:rsidRPr="00880E36">
        <w:rPr>
          <w:lang w:eastAsia="ar-SA"/>
        </w:rPr>
        <w:tab/>
      </w:r>
      <w:r w:rsidRPr="00880E36">
        <w:rPr>
          <w:lang w:eastAsia="ar-SA"/>
        </w:rPr>
        <w:tab/>
      </w:r>
      <w:r w:rsidRPr="00880E36">
        <w:rPr>
          <w:lang w:eastAsia="ar-SA"/>
        </w:rPr>
        <w:tab/>
      </w:r>
      <w:r w:rsidRPr="00880E36">
        <w:rPr>
          <w:lang w:eastAsia="ar-SA"/>
        </w:rPr>
        <w:tab/>
      </w:r>
      <w:r w:rsidRPr="00880E36">
        <w:rPr>
          <w:lang w:eastAsia="ar-SA"/>
        </w:rPr>
        <w:tab/>
        <w:t>3 db</w:t>
      </w:r>
    </w:p>
    <w:p w:rsidR="00B56B6D" w:rsidRPr="00880E36" w:rsidRDefault="00B56B6D" w:rsidP="00B56B6D">
      <w:pPr>
        <w:spacing w:before="120" w:after="120"/>
        <w:jc w:val="both"/>
        <w:rPr>
          <w:lang w:eastAsia="ar-SA"/>
        </w:rPr>
      </w:pPr>
      <w:r w:rsidRPr="00880E36">
        <w:rPr>
          <w:lang w:eastAsia="ar-SA"/>
        </w:rPr>
        <w:t xml:space="preserve">- </w:t>
      </w:r>
      <w:proofErr w:type="spellStart"/>
      <w:r w:rsidRPr="00880E36">
        <w:rPr>
          <w:lang w:eastAsia="ar-SA"/>
        </w:rPr>
        <w:t>Marathon</w:t>
      </w:r>
      <w:proofErr w:type="spellEnd"/>
      <w:r w:rsidRPr="00880E36">
        <w:rPr>
          <w:lang w:eastAsia="ar-SA"/>
        </w:rPr>
        <w:t xml:space="preserve"> Terra Gyakorlat</w:t>
      </w:r>
      <w:r w:rsidRPr="00880E36">
        <w:rPr>
          <w:lang w:eastAsia="ar-SA"/>
        </w:rPr>
        <w:tab/>
      </w:r>
      <w:r w:rsidRPr="00880E36">
        <w:rPr>
          <w:lang w:eastAsia="ar-SA"/>
        </w:rPr>
        <w:tab/>
      </w:r>
      <w:r w:rsidRPr="00880E36">
        <w:rPr>
          <w:lang w:eastAsia="ar-SA"/>
        </w:rPr>
        <w:tab/>
      </w:r>
      <w:r w:rsidRPr="00880E36">
        <w:rPr>
          <w:lang w:eastAsia="ar-SA"/>
        </w:rPr>
        <w:tab/>
      </w:r>
      <w:r w:rsidRPr="00880E36">
        <w:rPr>
          <w:lang w:eastAsia="ar-SA"/>
        </w:rPr>
        <w:tab/>
      </w:r>
      <w:r w:rsidRPr="00880E36">
        <w:rPr>
          <w:lang w:eastAsia="ar-SA"/>
        </w:rPr>
        <w:tab/>
      </w:r>
      <w:r w:rsidRPr="00880E36">
        <w:rPr>
          <w:lang w:eastAsia="ar-SA"/>
        </w:rPr>
        <w:tab/>
      </w:r>
      <w:r w:rsidRPr="00880E36">
        <w:rPr>
          <w:lang w:eastAsia="ar-SA"/>
        </w:rPr>
        <w:tab/>
      </w:r>
      <w:r w:rsidRPr="00880E36">
        <w:rPr>
          <w:lang w:eastAsia="ar-SA"/>
        </w:rPr>
        <w:tab/>
        <w:t>2 db</w:t>
      </w:r>
    </w:p>
    <w:p w:rsidR="00B56B6D" w:rsidRPr="00880E36" w:rsidRDefault="00B56B6D" w:rsidP="00B56B6D">
      <w:pPr>
        <w:spacing w:before="120" w:after="120"/>
        <w:jc w:val="both"/>
        <w:rPr>
          <w:lang w:eastAsia="ar-SA"/>
        </w:rPr>
      </w:pPr>
      <w:r w:rsidRPr="00880E36">
        <w:rPr>
          <w:lang w:eastAsia="ar-SA"/>
        </w:rPr>
        <w:t>- Katasztrófa felszámolási együttműködési gyakorlat</w:t>
      </w:r>
      <w:r w:rsidRPr="00880E36">
        <w:rPr>
          <w:lang w:eastAsia="ar-SA"/>
        </w:rPr>
        <w:tab/>
      </w:r>
      <w:r w:rsidRPr="00880E36">
        <w:rPr>
          <w:lang w:eastAsia="ar-SA"/>
        </w:rPr>
        <w:tab/>
      </w:r>
      <w:r w:rsidRPr="00880E36">
        <w:rPr>
          <w:lang w:eastAsia="ar-SA"/>
        </w:rPr>
        <w:tab/>
      </w:r>
      <w:r w:rsidRPr="00880E36">
        <w:rPr>
          <w:lang w:eastAsia="ar-SA"/>
        </w:rPr>
        <w:tab/>
      </w:r>
      <w:r w:rsidRPr="00880E36">
        <w:rPr>
          <w:lang w:eastAsia="ar-SA"/>
        </w:rPr>
        <w:tab/>
        <w:t>1 db</w:t>
      </w:r>
    </w:p>
    <w:p w:rsidR="00B56B6D" w:rsidRPr="00880E36" w:rsidRDefault="00B56B6D" w:rsidP="00B56B6D">
      <w:pPr>
        <w:spacing w:before="120" w:after="120"/>
        <w:jc w:val="both"/>
        <w:rPr>
          <w:lang w:eastAsia="ar-SA"/>
        </w:rPr>
      </w:pPr>
      <w:r w:rsidRPr="00880E36">
        <w:rPr>
          <w:lang w:eastAsia="ar-SA"/>
        </w:rPr>
        <w:t>- Külső Védelmi Gyakorlat</w:t>
      </w:r>
      <w:r w:rsidRPr="00880E36">
        <w:rPr>
          <w:lang w:eastAsia="ar-SA"/>
        </w:rPr>
        <w:tab/>
      </w:r>
      <w:r w:rsidRPr="00880E36">
        <w:rPr>
          <w:lang w:eastAsia="ar-SA"/>
        </w:rPr>
        <w:tab/>
      </w:r>
      <w:r w:rsidRPr="00880E36">
        <w:rPr>
          <w:lang w:eastAsia="ar-SA"/>
        </w:rPr>
        <w:tab/>
      </w:r>
      <w:r w:rsidRPr="00880E36">
        <w:rPr>
          <w:lang w:eastAsia="ar-SA"/>
        </w:rPr>
        <w:tab/>
      </w:r>
      <w:r w:rsidRPr="00880E36">
        <w:rPr>
          <w:lang w:eastAsia="ar-SA"/>
        </w:rPr>
        <w:tab/>
      </w:r>
      <w:r w:rsidRPr="00880E36">
        <w:rPr>
          <w:lang w:eastAsia="ar-SA"/>
        </w:rPr>
        <w:tab/>
      </w:r>
      <w:r w:rsidRPr="00880E36">
        <w:rPr>
          <w:lang w:eastAsia="ar-SA"/>
        </w:rPr>
        <w:tab/>
      </w:r>
      <w:r w:rsidRPr="00880E36">
        <w:rPr>
          <w:lang w:eastAsia="ar-SA"/>
        </w:rPr>
        <w:tab/>
      </w:r>
      <w:r w:rsidRPr="00880E36">
        <w:rPr>
          <w:lang w:eastAsia="ar-SA"/>
        </w:rPr>
        <w:tab/>
        <w:t>2 db</w:t>
      </w:r>
    </w:p>
    <w:p w:rsidR="00B56B6D" w:rsidRPr="00880E36" w:rsidRDefault="00B56B6D" w:rsidP="00B56B6D">
      <w:pPr>
        <w:spacing w:before="120" w:after="120"/>
        <w:jc w:val="both"/>
        <w:rPr>
          <w:lang w:eastAsia="ar-SA"/>
        </w:rPr>
      </w:pPr>
      <w:r w:rsidRPr="00880E36">
        <w:rPr>
          <w:lang w:eastAsia="ar-SA"/>
        </w:rPr>
        <w:t>- Polgármesterek és jegyzők felkészítése</w:t>
      </w:r>
      <w:r w:rsidRPr="00880E36">
        <w:rPr>
          <w:lang w:eastAsia="ar-SA"/>
        </w:rPr>
        <w:tab/>
      </w:r>
      <w:r w:rsidRPr="00880E36">
        <w:rPr>
          <w:lang w:eastAsia="ar-SA"/>
        </w:rPr>
        <w:tab/>
      </w:r>
      <w:r w:rsidRPr="00880E36">
        <w:rPr>
          <w:lang w:eastAsia="ar-SA"/>
        </w:rPr>
        <w:tab/>
      </w:r>
      <w:r w:rsidRPr="00880E36">
        <w:rPr>
          <w:lang w:eastAsia="ar-SA"/>
        </w:rPr>
        <w:tab/>
      </w:r>
      <w:r w:rsidRPr="00880E36">
        <w:rPr>
          <w:lang w:eastAsia="ar-SA"/>
        </w:rPr>
        <w:tab/>
      </w:r>
      <w:r w:rsidRPr="00880E36">
        <w:rPr>
          <w:lang w:eastAsia="ar-SA"/>
        </w:rPr>
        <w:tab/>
      </w:r>
      <w:r w:rsidRPr="00880E36">
        <w:rPr>
          <w:lang w:eastAsia="ar-SA"/>
        </w:rPr>
        <w:tab/>
        <w:t>1 db</w:t>
      </w:r>
    </w:p>
    <w:p w:rsidR="00B56B6D" w:rsidRPr="00880E36" w:rsidRDefault="00B56B6D" w:rsidP="00B56B6D">
      <w:pPr>
        <w:spacing w:before="120" w:after="120"/>
      </w:pPr>
      <w:r w:rsidRPr="00880E36">
        <w:t>- Katasztrófavédelmi ifjúsági verseny</w:t>
      </w:r>
    </w:p>
    <w:p w:rsidR="00B56B6D" w:rsidRPr="00880E36" w:rsidRDefault="00B56B6D" w:rsidP="00B56B6D">
      <w:pPr>
        <w:spacing w:before="120" w:after="120"/>
        <w:jc w:val="both"/>
        <w:rPr>
          <w:lang w:eastAsia="ar-SA"/>
        </w:rPr>
      </w:pPr>
      <w:r w:rsidRPr="00880E36">
        <w:rPr>
          <w:lang w:eastAsia="ar-SA"/>
        </w:rPr>
        <w:t>- HELIOS és a lakosságvédelmi adattár folyamatos aktualizálása</w:t>
      </w:r>
    </w:p>
    <w:p w:rsidR="00B56B6D" w:rsidRPr="00880E36" w:rsidRDefault="00B56B6D" w:rsidP="00B56B6D">
      <w:pPr>
        <w:spacing w:before="120" w:after="120"/>
        <w:jc w:val="both"/>
        <w:rPr>
          <w:lang w:eastAsia="ar-SA"/>
        </w:rPr>
      </w:pPr>
    </w:p>
    <w:p w:rsidR="00B56B6D" w:rsidRPr="00880E36" w:rsidRDefault="00B56B6D" w:rsidP="00B56B6D">
      <w:pPr>
        <w:widowControl w:val="0"/>
        <w:tabs>
          <w:tab w:val="center" w:pos="6663"/>
        </w:tabs>
        <w:spacing w:line="276" w:lineRule="auto"/>
        <w:jc w:val="both"/>
      </w:pPr>
      <w:r w:rsidRPr="00880E36">
        <w:t>A felsorolt végrehajtott feladatokat a k</w:t>
      </w:r>
      <w:r w:rsidRPr="00880E36">
        <w:t xml:space="preserve">atasztrófavédelmi megbízott </w:t>
      </w:r>
      <w:r w:rsidRPr="00880E36">
        <w:t>a parancsnok helyettessel</w:t>
      </w:r>
      <w:r w:rsidRPr="00880E36">
        <w:t xml:space="preserve"> </w:t>
      </w:r>
      <w:r w:rsidRPr="00880E36">
        <w:t>hajtotta végre a közbiztonsági referensek állandó bevonásával.</w:t>
      </w:r>
    </w:p>
    <w:p w:rsidR="00B56B6D" w:rsidRPr="00880E36" w:rsidRDefault="00B56B6D" w:rsidP="00B56B6D">
      <w:pPr>
        <w:spacing w:line="360" w:lineRule="auto"/>
        <w:jc w:val="both"/>
      </w:pPr>
      <w:r w:rsidRPr="00880E36">
        <w:t xml:space="preserve">A HTP működési területén található települések katasztrófavédelmi osztályba sorolásának éves felülvizsgálatát a települések a HTP állományának bevonásával </w:t>
      </w:r>
      <w:r w:rsidRPr="00880E36">
        <w:rPr>
          <w:i/>
        </w:rPr>
        <w:t>a katasztrófavédelemről és a hozzá kapcsolódó egyes törvények módosításáról szóló 2011. évi CXXVIII. törvény végrehajtásáról</w:t>
      </w:r>
      <w:r w:rsidRPr="00880E36">
        <w:t xml:space="preserve"> szóló 234/2011. (XI. 10.) Korm. rendeletben foglaltak alapján augusztus hónapban végrehajtotta. A lefolytatott eljárás során a megkeresett települések polgármesterei nem tettek javaslatot a meglévő katasztrófavédelmi besorolási osztályok módosítására.</w:t>
      </w:r>
    </w:p>
    <w:p w:rsidR="00B56B6D" w:rsidRPr="00880E36" w:rsidRDefault="00B56B6D" w:rsidP="00B56B6D">
      <w:pPr>
        <w:spacing w:line="360" w:lineRule="auto"/>
        <w:jc w:val="both"/>
      </w:pPr>
      <w:r w:rsidRPr="00880E36">
        <w:t>Illetékességi területünkön lévő települések katasztrófavédelmi osztályba sorolása:</w:t>
      </w:r>
    </w:p>
    <w:p w:rsidR="00B56B6D" w:rsidRPr="00880E36" w:rsidRDefault="00B56B6D" w:rsidP="00B56B6D">
      <w:pPr>
        <w:spacing w:line="360" w:lineRule="auto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6"/>
        <w:gridCol w:w="2977"/>
      </w:tblGrid>
      <w:tr w:rsidR="00B56B6D" w:rsidRPr="00880E36" w:rsidTr="00045B0B">
        <w:trPr>
          <w:trHeight w:val="683"/>
          <w:jc w:val="center"/>
        </w:trPr>
        <w:tc>
          <w:tcPr>
            <w:tcW w:w="26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6B6D" w:rsidRPr="00880E36" w:rsidRDefault="00B56B6D" w:rsidP="00045B0B">
            <w:pPr>
              <w:spacing w:line="360" w:lineRule="auto"/>
              <w:jc w:val="center"/>
              <w:rPr>
                <w:b/>
              </w:rPr>
            </w:pPr>
            <w:r w:rsidRPr="00880E36">
              <w:rPr>
                <w:b/>
              </w:rPr>
              <w:t>Település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6B6D" w:rsidRPr="00880E36" w:rsidRDefault="00B56B6D" w:rsidP="00045B0B">
            <w:pPr>
              <w:spacing w:line="360" w:lineRule="auto"/>
              <w:jc w:val="center"/>
              <w:rPr>
                <w:b/>
              </w:rPr>
            </w:pPr>
            <w:r w:rsidRPr="00880E36">
              <w:rPr>
                <w:b/>
              </w:rPr>
              <w:t>Katasztrófavédelmi osztályba sorolás</w:t>
            </w:r>
          </w:p>
        </w:tc>
      </w:tr>
      <w:tr w:rsidR="00B56B6D" w:rsidRPr="00880E36" w:rsidTr="00045B0B">
        <w:trPr>
          <w:trHeight w:val="454"/>
          <w:jc w:val="center"/>
        </w:trPr>
        <w:tc>
          <w:tcPr>
            <w:tcW w:w="2646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B56B6D" w:rsidRPr="00880E36" w:rsidRDefault="00B56B6D" w:rsidP="00045B0B">
            <w:pPr>
              <w:spacing w:line="360" w:lineRule="auto"/>
            </w:pPr>
            <w:r w:rsidRPr="00880E36">
              <w:t>Gádoros</w:t>
            </w:r>
          </w:p>
        </w:tc>
        <w:tc>
          <w:tcPr>
            <w:tcW w:w="2977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6B6D" w:rsidRPr="00880E36" w:rsidRDefault="00B56B6D" w:rsidP="00045B0B">
            <w:pPr>
              <w:spacing w:line="360" w:lineRule="auto"/>
              <w:jc w:val="center"/>
            </w:pPr>
            <w:r w:rsidRPr="00880E36">
              <w:t>III.</w:t>
            </w:r>
          </w:p>
        </w:tc>
      </w:tr>
      <w:tr w:rsidR="00B56B6D" w:rsidRPr="00880E36" w:rsidTr="00045B0B">
        <w:trPr>
          <w:trHeight w:val="454"/>
          <w:jc w:val="center"/>
        </w:trPr>
        <w:tc>
          <w:tcPr>
            <w:tcW w:w="264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56B6D" w:rsidRPr="00880E36" w:rsidRDefault="00B56B6D" w:rsidP="00045B0B">
            <w:pPr>
              <w:spacing w:line="360" w:lineRule="auto"/>
            </w:pPr>
            <w:r w:rsidRPr="00880E36">
              <w:t>Tótkomlós</w:t>
            </w:r>
          </w:p>
        </w:tc>
        <w:tc>
          <w:tcPr>
            <w:tcW w:w="297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56B6D" w:rsidRPr="00880E36" w:rsidRDefault="00B56B6D" w:rsidP="00045B0B">
            <w:pPr>
              <w:spacing w:line="360" w:lineRule="auto"/>
              <w:jc w:val="center"/>
            </w:pPr>
            <w:r w:rsidRPr="00880E36">
              <w:t>III.</w:t>
            </w:r>
          </w:p>
        </w:tc>
      </w:tr>
      <w:tr w:rsidR="00B56B6D" w:rsidRPr="00880E36" w:rsidTr="00045B0B">
        <w:trPr>
          <w:trHeight w:val="454"/>
          <w:jc w:val="center"/>
        </w:trPr>
        <w:tc>
          <w:tcPr>
            <w:tcW w:w="264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56B6D" w:rsidRPr="00880E36" w:rsidRDefault="00B56B6D" w:rsidP="00045B0B">
            <w:pPr>
              <w:spacing w:line="360" w:lineRule="auto"/>
            </w:pPr>
            <w:r w:rsidRPr="00880E36">
              <w:t>Csanádapáca</w:t>
            </w:r>
          </w:p>
        </w:tc>
        <w:tc>
          <w:tcPr>
            <w:tcW w:w="297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56B6D" w:rsidRPr="00880E36" w:rsidRDefault="00B56B6D" w:rsidP="00045B0B">
            <w:pPr>
              <w:spacing w:line="360" w:lineRule="auto"/>
              <w:jc w:val="center"/>
            </w:pPr>
            <w:r w:rsidRPr="00880E36">
              <w:t>III.</w:t>
            </w:r>
          </w:p>
        </w:tc>
      </w:tr>
      <w:tr w:rsidR="00B56B6D" w:rsidRPr="00880E36" w:rsidTr="00045B0B">
        <w:trPr>
          <w:trHeight w:val="454"/>
          <w:jc w:val="center"/>
        </w:trPr>
        <w:tc>
          <w:tcPr>
            <w:tcW w:w="264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56B6D" w:rsidRPr="00880E36" w:rsidRDefault="00B56B6D" w:rsidP="00045B0B">
            <w:pPr>
              <w:spacing w:line="360" w:lineRule="auto"/>
            </w:pPr>
            <w:r w:rsidRPr="00880E36">
              <w:t>Pusztaföldvár</w:t>
            </w:r>
          </w:p>
        </w:tc>
        <w:tc>
          <w:tcPr>
            <w:tcW w:w="297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56B6D" w:rsidRPr="00880E36" w:rsidRDefault="00B56B6D" w:rsidP="00045B0B">
            <w:pPr>
              <w:spacing w:line="360" w:lineRule="auto"/>
              <w:jc w:val="center"/>
            </w:pPr>
            <w:r w:rsidRPr="00880E36">
              <w:t>III.</w:t>
            </w:r>
          </w:p>
        </w:tc>
      </w:tr>
      <w:tr w:rsidR="00B56B6D" w:rsidRPr="00880E36" w:rsidTr="00045B0B">
        <w:trPr>
          <w:trHeight w:val="454"/>
          <w:jc w:val="center"/>
        </w:trPr>
        <w:tc>
          <w:tcPr>
            <w:tcW w:w="264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56B6D" w:rsidRPr="00880E36" w:rsidRDefault="00B56B6D" w:rsidP="00045B0B">
            <w:pPr>
              <w:spacing w:line="360" w:lineRule="auto"/>
            </w:pPr>
            <w:r w:rsidRPr="00880E36">
              <w:t>Békéssámson</w:t>
            </w:r>
          </w:p>
        </w:tc>
        <w:tc>
          <w:tcPr>
            <w:tcW w:w="297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56B6D" w:rsidRPr="00880E36" w:rsidRDefault="00B56B6D" w:rsidP="00045B0B">
            <w:pPr>
              <w:spacing w:line="360" w:lineRule="auto"/>
              <w:jc w:val="center"/>
            </w:pPr>
            <w:r w:rsidRPr="00880E36">
              <w:t>II.</w:t>
            </w:r>
          </w:p>
        </w:tc>
      </w:tr>
      <w:tr w:rsidR="00B56B6D" w:rsidRPr="00880E36" w:rsidTr="00045B0B">
        <w:trPr>
          <w:trHeight w:val="454"/>
          <w:jc w:val="center"/>
        </w:trPr>
        <w:tc>
          <w:tcPr>
            <w:tcW w:w="264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56B6D" w:rsidRPr="00880E36" w:rsidRDefault="00B56B6D" w:rsidP="00045B0B">
            <w:pPr>
              <w:spacing w:line="360" w:lineRule="auto"/>
            </w:pPr>
            <w:r w:rsidRPr="00880E36">
              <w:t>Nagyszénás</w:t>
            </w:r>
          </w:p>
        </w:tc>
        <w:tc>
          <w:tcPr>
            <w:tcW w:w="297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56B6D" w:rsidRPr="00880E36" w:rsidRDefault="00B56B6D" w:rsidP="00045B0B">
            <w:pPr>
              <w:spacing w:line="360" w:lineRule="auto"/>
              <w:jc w:val="center"/>
            </w:pPr>
            <w:r w:rsidRPr="00880E36">
              <w:t>II.</w:t>
            </w:r>
          </w:p>
        </w:tc>
      </w:tr>
      <w:tr w:rsidR="00B56B6D" w:rsidRPr="00880E36" w:rsidTr="00045B0B">
        <w:trPr>
          <w:trHeight w:val="454"/>
          <w:jc w:val="center"/>
        </w:trPr>
        <w:tc>
          <w:tcPr>
            <w:tcW w:w="264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56B6D" w:rsidRPr="00880E36" w:rsidRDefault="00B56B6D" w:rsidP="00045B0B">
            <w:pPr>
              <w:spacing w:line="360" w:lineRule="auto"/>
            </w:pPr>
            <w:r w:rsidRPr="00880E36">
              <w:t>Kardoskút</w:t>
            </w:r>
          </w:p>
        </w:tc>
        <w:tc>
          <w:tcPr>
            <w:tcW w:w="297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56B6D" w:rsidRPr="00880E36" w:rsidRDefault="00B56B6D" w:rsidP="00045B0B">
            <w:pPr>
              <w:spacing w:line="360" w:lineRule="auto"/>
              <w:jc w:val="center"/>
            </w:pPr>
            <w:r w:rsidRPr="00880E36">
              <w:t>I.</w:t>
            </w:r>
          </w:p>
        </w:tc>
      </w:tr>
      <w:tr w:rsidR="00B56B6D" w:rsidRPr="00880E36" w:rsidTr="00045B0B">
        <w:trPr>
          <w:trHeight w:val="454"/>
          <w:jc w:val="center"/>
        </w:trPr>
        <w:tc>
          <w:tcPr>
            <w:tcW w:w="2646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56B6D" w:rsidRPr="00880E36" w:rsidRDefault="00B56B6D" w:rsidP="00045B0B">
            <w:pPr>
              <w:spacing w:line="360" w:lineRule="auto"/>
            </w:pPr>
            <w:r w:rsidRPr="00880E36">
              <w:t>Orosháza</w:t>
            </w:r>
          </w:p>
        </w:tc>
        <w:tc>
          <w:tcPr>
            <w:tcW w:w="297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6B6D" w:rsidRPr="00880E36" w:rsidRDefault="00B56B6D" w:rsidP="00045B0B">
            <w:pPr>
              <w:spacing w:line="360" w:lineRule="auto"/>
              <w:jc w:val="center"/>
            </w:pPr>
            <w:r w:rsidRPr="00880E36">
              <w:t>I.</w:t>
            </w:r>
          </w:p>
        </w:tc>
      </w:tr>
    </w:tbl>
    <w:p w:rsidR="00404C96" w:rsidRDefault="00404C96" w:rsidP="0037325C">
      <w:pPr>
        <w:widowControl w:val="0"/>
        <w:tabs>
          <w:tab w:val="center" w:pos="6663"/>
        </w:tabs>
        <w:spacing w:line="276" w:lineRule="auto"/>
        <w:jc w:val="both"/>
        <w:rPr>
          <w:b/>
          <w:bCs/>
        </w:rPr>
      </w:pPr>
    </w:p>
    <w:p w:rsidR="00404C96" w:rsidRDefault="00404C96" w:rsidP="0037325C">
      <w:pPr>
        <w:widowControl w:val="0"/>
        <w:tabs>
          <w:tab w:val="center" w:pos="6663"/>
        </w:tabs>
        <w:spacing w:line="276" w:lineRule="auto"/>
        <w:jc w:val="both"/>
        <w:rPr>
          <w:b/>
          <w:bCs/>
        </w:rPr>
      </w:pPr>
    </w:p>
    <w:p w:rsidR="00404C96" w:rsidRDefault="00404C96" w:rsidP="0037325C">
      <w:pPr>
        <w:widowControl w:val="0"/>
        <w:tabs>
          <w:tab w:val="center" w:pos="6663"/>
        </w:tabs>
        <w:spacing w:line="276" w:lineRule="auto"/>
        <w:jc w:val="both"/>
        <w:rPr>
          <w:b/>
          <w:bCs/>
        </w:rPr>
      </w:pPr>
    </w:p>
    <w:p w:rsidR="0029289A" w:rsidRPr="00880E36" w:rsidRDefault="00404C96" w:rsidP="0037325C">
      <w:pPr>
        <w:widowControl w:val="0"/>
        <w:tabs>
          <w:tab w:val="center" w:pos="6663"/>
        </w:tabs>
        <w:spacing w:line="276" w:lineRule="auto"/>
        <w:jc w:val="both"/>
        <w:rPr>
          <w:b/>
          <w:bCs/>
        </w:rPr>
      </w:pPr>
      <w:r>
        <w:rPr>
          <w:b/>
          <w:bCs/>
        </w:rPr>
        <w:lastRenderedPageBreak/>
        <w:t>VI</w:t>
      </w:r>
      <w:r w:rsidR="0029289A" w:rsidRPr="00880E36">
        <w:rPr>
          <w:b/>
          <w:bCs/>
        </w:rPr>
        <w:t>. Összegzés</w:t>
      </w:r>
    </w:p>
    <w:p w:rsidR="0029289A" w:rsidRPr="00880E36" w:rsidRDefault="0029289A" w:rsidP="0037325C">
      <w:pPr>
        <w:widowControl w:val="0"/>
        <w:tabs>
          <w:tab w:val="center" w:pos="6663"/>
        </w:tabs>
        <w:spacing w:line="276" w:lineRule="auto"/>
        <w:jc w:val="both"/>
        <w:rPr>
          <w:b/>
          <w:bCs/>
        </w:rPr>
      </w:pPr>
    </w:p>
    <w:p w:rsidR="0029289A" w:rsidRPr="00880E36" w:rsidRDefault="0029289A" w:rsidP="0037325C">
      <w:pPr>
        <w:widowControl w:val="0"/>
        <w:tabs>
          <w:tab w:val="center" w:pos="6663"/>
        </w:tabs>
        <w:spacing w:line="276" w:lineRule="auto"/>
        <w:jc w:val="both"/>
      </w:pPr>
      <w:r w:rsidRPr="00880E36">
        <w:t>A tűzoltóság személyi állományának valamennyi tagja helytállt mind a normál időszaki feladatokban, mind a veszélyes helyzetekben a tűz- és káreseti beavatkozások során, valamint a beavatkozásokat követő lakosságvédelmi feladatok végrehajtásában. A 2019-es év a tűzoltói beavatkozások számát tekintve növekvő tendenciát mutat</w:t>
      </w:r>
      <w:r w:rsidR="00B56B6D" w:rsidRPr="00880E36">
        <w:t>.</w:t>
      </w:r>
      <w:r w:rsidRPr="00880E36">
        <w:t xml:space="preserve"> A káresetek év közbeni eloszlása nem változott, kiemelt időszaknak számít télvégi tavaszi időszak, valamint nyárvégi kora őszi időszak. A káreseteket okait vizsgálva megállapítható, hogy a műszaki mentések a szélsőségesen időjárás kártéteményeihez, viharkárok felszámolásához kapcsolható.</w:t>
      </w:r>
    </w:p>
    <w:p w:rsidR="008B723B" w:rsidRPr="00880E36" w:rsidRDefault="008B723B" w:rsidP="0037325C">
      <w:pPr>
        <w:widowControl w:val="0"/>
        <w:tabs>
          <w:tab w:val="center" w:pos="6663"/>
        </w:tabs>
        <w:spacing w:line="276" w:lineRule="auto"/>
        <w:jc w:val="both"/>
      </w:pPr>
    </w:p>
    <w:p w:rsidR="00583C0A" w:rsidRPr="00880E36" w:rsidRDefault="008B723B" w:rsidP="0037325C">
      <w:pPr>
        <w:widowControl w:val="0"/>
        <w:tabs>
          <w:tab w:val="center" w:pos="6663"/>
        </w:tabs>
        <w:spacing w:line="276" w:lineRule="auto"/>
        <w:jc w:val="both"/>
      </w:pPr>
      <w:r w:rsidRPr="00880E36">
        <w:t>A tűzoltóság állományának munkavégzését a minőségi szakmai munka fejlesztése, a tervszerűség, a magas fokú együttműködési készség, a hivatástudat, a prevención alapuló költséghatékonyság, a valós társadalmi igényekre történő reagálás és az önkéntesekkel történő kapcsolattartás jellemezte.</w:t>
      </w:r>
    </w:p>
    <w:p w:rsidR="008B723B" w:rsidRPr="00880E36" w:rsidRDefault="008B723B" w:rsidP="0037325C">
      <w:pPr>
        <w:widowControl w:val="0"/>
        <w:tabs>
          <w:tab w:val="center" w:pos="6663"/>
        </w:tabs>
        <w:spacing w:line="276" w:lineRule="auto"/>
        <w:jc w:val="both"/>
      </w:pPr>
    </w:p>
    <w:p w:rsidR="00583C0A" w:rsidRPr="00880E36" w:rsidRDefault="00583C0A" w:rsidP="0037325C">
      <w:pPr>
        <w:spacing w:line="276" w:lineRule="auto"/>
        <w:jc w:val="both"/>
      </w:pPr>
      <w:r w:rsidRPr="00880E36">
        <w:t>Az állomány képzése tervezetten, a képesítési követelmények egyénenkénti szem előtt tartásával történt. Mind a beosztott, mind a vezetői állomány szem előtt tartotta a képzések előzetes tervezésénél a költséghatékonyságot, illetve azt a tényt, mely szerint az előmenetel megkerülhetetlen feltétele a folyamatos önképzés, képzés, illetve tanulás. A</w:t>
      </w:r>
      <w:r w:rsidR="008B723B" w:rsidRPr="00880E36">
        <w:t xml:space="preserve"> tűzoltóság</w:t>
      </w:r>
      <w:r w:rsidRPr="00880E36">
        <w:t xml:space="preserve"> hatékony, eredményes működéséhez, a feladatrendszerének maradéktalan ellátásához alapvetően hozzájárult a személyi állomány fegyelmezettsége.</w:t>
      </w:r>
    </w:p>
    <w:p w:rsidR="008B723B" w:rsidRPr="00880E36" w:rsidRDefault="008B723B" w:rsidP="0037325C">
      <w:pPr>
        <w:spacing w:line="276" w:lineRule="auto"/>
        <w:jc w:val="both"/>
      </w:pPr>
    </w:p>
    <w:p w:rsidR="00430A68" w:rsidRPr="00052978" w:rsidRDefault="008B723B" w:rsidP="0037325C">
      <w:pPr>
        <w:spacing w:line="276" w:lineRule="auto"/>
        <w:jc w:val="both"/>
      </w:pPr>
      <w:r w:rsidRPr="00880E36">
        <w:t>A fentiek alapján kijelenthető, hogy kitűzött fő feladatainkat 2019. évben magas szinten hajtottuk végre.</w:t>
      </w:r>
    </w:p>
    <w:sectPr w:rsidR="00430A68" w:rsidRPr="000529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1724B"/>
    <w:multiLevelType w:val="hybridMultilevel"/>
    <w:tmpl w:val="1172A840"/>
    <w:lvl w:ilvl="0" w:tplc="37E6E7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D452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9AC0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9A86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06AA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FA65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449C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90D7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3CDC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0919"/>
    <w:multiLevelType w:val="hybridMultilevel"/>
    <w:tmpl w:val="2548C2A2"/>
    <w:lvl w:ilvl="0" w:tplc="6DA4992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34376"/>
    <w:multiLevelType w:val="hybridMultilevel"/>
    <w:tmpl w:val="91F60A4A"/>
    <w:lvl w:ilvl="0" w:tplc="33965F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B8AC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3F8A9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4AF1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640C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52B4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2A7A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1E98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C442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80744E"/>
    <w:multiLevelType w:val="hybridMultilevel"/>
    <w:tmpl w:val="49FCDC72"/>
    <w:lvl w:ilvl="0" w:tplc="879CEF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5A02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8A69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EC8C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4C5F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1AF5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F48D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48D5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92FC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9D174F"/>
    <w:multiLevelType w:val="hybridMultilevel"/>
    <w:tmpl w:val="D07C9B66"/>
    <w:lvl w:ilvl="0" w:tplc="23802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A04D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B6C3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080C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281C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BCFB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249F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34D8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7C05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78462B"/>
    <w:multiLevelType w:val="hybridMultilevel"/>
    <w:tmpl w:val="E8B05108"/>
    <w:lvl w:ilvl="0" w:tplc="34287236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3C8C05E5"/>
    <w:multiLevelType w:val="hybridMultilevel"/>
    <w:tmpl w:val="B07870AC"/>
    <w:lvl w:ilvl="0" w:tplc="12E40F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1698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2059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5ECB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1C1B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0C01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EAA1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6B4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9425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004A77"/>
    <w:multiLevelType w:val="hybridMultilevel"/>
    <w:tmpl w:val="0AEC4FF8"/>
    <w:lvl w:ilvl="0" w:tplc="45C62E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E8D9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A66E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4846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D8D4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86B7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A009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423C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464A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F64FA2"/>
    <w:multiLevelType w:val="hybridMultilevel"/>
    <w:tmpl w:val="6D665556"/>
    <w:lvl w:ilvl="0" w:tplc="1AF471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FAE5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EAF1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622C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3C38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EC22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0E69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8699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4408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0984469"/>
    <w:multiLevelType w:val="hybridMultilevel"/>
    <w:tmpl w:val="5986CDF0"/>
    <w:lvl w:ilvl="0" w:tplc="20C80C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2669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5033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9C15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9ED4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B4C9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F2B7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A0BB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C292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31227C"/>
    <w:multiLevelType w:val="hybridMultilevel"/>
    <w:tmpl w:val="3B44EA48"/>
    <w:lvl w:ilvl="0" w:tplc="7176373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D04A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1625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16B2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52F5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22D6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86A0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D074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36F8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9"/>
  </w:num>
  <w:num w:numId="5">
    <w:abstractNumId w:val="4"/>
  </w:num>
  <w:num w:numId="6">
    <w:abstractNumId w:val="6"/>
  </w:num>
  <w:num w:numId="7">
    <w:abstractNumId w:val="10"/>
  </w:num>
  <w:num w:numId="8">
    <w:abstractNumId w:val="7"/>
  </w:num>
  <w:num w:numId="9">
    <w:abstractNumId w:val="0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ED6"/>
    <w:rsid w:val="00052978"/>
    <w:rsid w:val="0014263F"/>
    <w:rsid w:val="001D6CC6"/>
    <w:rsid w:val="001E2606"/>
    <w:rsid w:val="00214560"/>
    <w:rsid w:val="00282AD4"/>
    <w:rsid w:val="0029289A"/>
    <w:rsid w:val="002D4167"/>
    <w:rsid w:val="00326A4A"/>
    <w:rsid w:val="00367EA5"/>
    <w:rsid w:val="0037325C"/>
    <w:rsid w:val="003A21D3"/>
    <w:rsid w:val="003B1FAB"/>
    <w:rsid w:val="00404C96"/>
    <w:rsid w:val="00430A68"/>
    <w:rsid w:val="00521F76"/>
    <w:rsid w:val="0055467E"/>
    <w:rsid w:val="00554DE8"/>
    <w:rsid w:val="00583C0A"/>
    <w:rsid w:val="005C19D2"/>
    <w:rsid w:val="00650E10"/>
    <w:rsid w:val="00687508"/>
    <w:rsid w:val="0077099A"/>
    <w:rsid w:val="0083519D"/>
    <w:rsid w:val="00875A57"/>
    <w:rsid w:val="00880E36"/>
    <w:rsid w:val="008B723B"/>
    <w:rsid w:val="00996684"/>
    <w:rsid w:val="00A61DDD"/>
    <w:rsid w:val="00AB2746"/>
    <w:rsid w:val="00AF326E"/>
    <w:rsid w:val="00B3561C"/>
    <w:rsid w:val="00B421D8"/>
    <w:rsid w:val="00B56B6D"/>
    <w:rsid w:val="00BC6AB6"/>
    <w:rsid w:val="00BD47A5"/>
    <w:rsid w:val="00C1586B"/>
    <w:rsid w:val="00C32F31"/>
    <w:rsid w:val="00C85598"/>
    <w:rsid w:val="00C94436"/>
    <w:rsid w:val="00CB1FB3"/>
    <w:rsid w:val="00D225C2"/>
    <w:rsid w:val="00D615CC"/>
    <w:rsid w:val="00D7344A"/>
    <w:rsid w:val="00D94ED6"/>
    <w:rsid w:val="00E661DE"/>
    <w:rsid w:val="00E77DF6"/>
    <w:rsid w:val="00EA2DDA"/>
    <w:rsid w:val="00F50F7C"/>
    <w:rsid w:val="00FE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FCFB0E-4C27-43CD-9F92-F812EFD77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94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 Char1, Char1 Char,Élőfej Char Char,Char1 Char Char,Char1 Char,Char1,Header Char"/>
    <w:basedOn w:val="Norml"/>
    <w:link w:val="lfejChar1"/>
    <w:uiPriority w:val="99"/>
    <w:rsid w:val="00D94ED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uiPriority w:val="99"/>
    <w:semiHidden/>
    <w:rsid w:val="00D94ED6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1">
    <w:name w:val="Élőfej Char1"/>
    <w:aliases w:val=" Char1 Char1, Char1 Char Char,Élőfej Char Char Char,Char1 Char Char Char,Char1 Char Char1,Char1 Char1,Header Char Char"/>
    <w:link w:val="lfej"/>
    <w:uiPriority w:val="99"/>
    <w:rsid w:val="00D94ED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996684"/>
    <w:pPr>
      <w:ind w:left="720"/>
      <w:contextualSpacing/>
    </w:pPr>
  </w:style>
  <w:style w:type="paragraph" w:styleId="Nincstrkz">
    <w:name w:val="No Spacing"/>
    <w:qFormat/>
    <w:rsid w:val="00FE34E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t">
    <w:name w:val="st"/>
    <w:rsid w:val="00FE34EB"/>
  </w:style>
  <w:style w:type="character" w:styleId="Kiemels2">
    <w:name w:val="Strong"/>
    <w:uiPriority w:val="22"/>
    <w:qFormat/>
    <w:rsid w:val="00FE34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3872">
          <w:marLeft w:val="152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10790">
          <w:marLeft w:val="152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9486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459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670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19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71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373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164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904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833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8251">
          <w:marLeft w:val="152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5235">
          <w:marLeft w:val="152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860986">
          <w:marLeft w:val="152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6183">
          <w:marLeft w:val="152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7343">
          <w:marLeft w:val="152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2217">
          <w:marLeft w:val="152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86950">
          <w:marLeft w:val="152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6122">
          <w:marLeft w:val="152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2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84862">
          <w:marLeft w:val="152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9689">
          <w:marLeft w:val="152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8149">
          <w:marLeft w:val="152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2319">
          <w:marLeft w:val="152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6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41842">
          <w:marLeft w:val="152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22536">
          <w:marLeft w:val="152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4716">
          <w:marLeft w:val="152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5334">
          <w:marLeft w:val="152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5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35036">
          <w:marLeft w:val="152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000">
          <w:marLeft w:val="152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603">
          <w:marLeft w:val="152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0329">
          <w:marLeft w:val="152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9554">
          <w:marLeft w:val="152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hart" Target="charts/chart5.xm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Munkaf&#252;zet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Munkaf&#252;zet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Boh&#225;k\_01_OROSH&#193;ZA\Besz&#225;mol&#243;k\001\Diagramm_&#250;j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Boh&#225;k\_01_OROSH&#193;ZA\Besz&#225;mol&#243;k\001\Diagramm_&#250;j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Boh&#225;k\_01_OROSH&#193;ZA\Besz&#225;mol&#243;k\001\Diagramm_&#250;j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Boh&#225;k\_01_OROSH&#193;ZA\Besz&#225;mol&#243;k\001\Diagramm_&#250;j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Munkaf&#252;zet1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Munkaf&#252;zet1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none" baseline="0">
                <a:solidFill>
                  <a:schemeClr val="lt1">
                    <a:lumMod val="8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hu-HU"/>
              <a:t>Működési terület - területnagyság (ha)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none" baseline="0">
              <a:solidFill>
                <a:schemeClr val="lt1">
                  <a:lumMod val="8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hu-H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noFill/>
            <a:ln w="9525" cap="flat" cmpd="sng" algn="ctr">
              <a:solidFill>
                <a:schemeClr val="accent1"/>
              </a:solidFill>
              <a:miter lim="800000"/>
            </a:ln>
            <a:effectLst>
              <a:glow rad="63500">
                <a:schemeClr val="accent1">
                  <a:satMod val="175000"/>
                  <a:alpha val="25000"/>
                </a:schemeClr>
              </a:glo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7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hu-H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Munka6!$A$17:$A$28</c:f>
              <c:strCache>
                <c:ptCount val="12"/>
                <c:pt idx="0">
                  <c:v>Árpádhalom</c:v>
                </c:pt>
                <c:pt idx="1">
                  <c:v>Eperjes</c:v>
                </c:pt>
                <c:pt idx="2">
                  <c:v>Nagymágocs</c:v>
                </c:pt>
                <c:pt idx="3">
                  <c:v>Székkutas</c:v>
                </c:pt>
                <c:pt idx="4">
                  <c:v>Csorvás</c:v>
                </c:pt>
                <c:pt idx="5">
                  <c:v>Gerendás</c:v>
                </c:pt>
                <c:pt idx="6">
                  <c:v>Gádoros</c:v>
                </c:pt>
                <c:pt idx="7">
                  <c:v>Csanádapáca</c:v>
                </c:pt>
                <c:pt idx="8">
                  <c:v>Kardoskút</c:v>
                </c:pt>
                <c:pt idx="9">
                  <c:v>Nagyszénás</c:v>
                </c:pt>
                <c:pt idx="10">
                  <c:v>Orosháza</c:v>
                </c:pt>
                <c:pt idx="11">
                  <c:v>Pusztaföldvár</c:v>
                </c:pt>
              </c:strCache>
            </c:strRef>
          </c:cat>
          <c:val>
            <c:numRef>
              <c:f>Munka6!$B$17:$B$28</c:f>
              <c:numCache>
                <c:formatCode>General</c:formatCode>
                <c:ptCount val="12"/>
                <c:pt idx="0">
                  <c:v>4520</c:v>
                </c:pt>
                <c:pt idx="1">
                  <c:v>7389</c:v>
                </c:pt>
                <c:pt idx="2">
                  <c:v>7509</c:v>
                </c:pt>
                <c:pt idx="3">
                  <c:v>12399</c:v>
                </c:pt>
                <c:pt idx="4">
                  <c:v>9018</c:v>
                </c:pt>
                <c:pt idx="5">
                  <c:v>4078</c:v>
                </c:pt>
                <c:pt idx="6">
                  <c:v>3813</c:v>
                </c:pt>
                <c:pt idx="7">
                  <c:v>5130</c:v>
                </c:pt>
                <c:pt idx="8">
                  <c:v>7658</c:v>
                </c:pt>
                <c:pt idx="9">
                  <c:v>9556</c:v>
                </c:pt>
                <c:pt idx="10" formatCode="#,##0">
                  <c:v>20222</c:v>
                </c:pt>
                <c:pt idx="11">
                  <c:v>5713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overlap val="-50"/>
        <c:axId val="1642034016"/>
        <c:axId val="1642022048"/>
      </c:barChart>
      <c:catAx>
        <c:axId val="1642034016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0">
                    <a:schemeClr val="dk1">
                      <a:lumMod val="65000"/>
                      <a:lumOff val="35000"/>
                    </a:schemeClr>
                  </a:gs>
                  <a:gs pos="100000">
                    <a:schemeClr val="dk1">
                      <a:lumMod val="75000"/>
                      <a:lumOff val="25000"/>
                    </a:schemeClr>
                  </a:gs>
                </a:gsLst>
                <a:lin ang="108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hu-HU"/>
          </a:p>
        </c:txPr>
        <c:crossAx val="1642022048"/>
        <c:crosses val="autoZero"/>
        <c:auto val="1"/>
        <c:lblAlgn val="ctr"/>
        <c:lblOffset val="100"/>
        <c:noMultiLvlLbl val="0"/>
      </c:catAx>
      <c:valAx>
        <c:axId val="1642022048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0">
                    <a:schemeClr val="dk1">
                      <a:lumMod val="65000"/>
                      <a:lumOff val="35000"/>
                    </a:schemeClr>
                  </a:gs>
                  <a:gs pos="100000">
                    <a:schemeClr val="dk1">
                      <a:lumMod val="75000"/>
                      <a:lumOff val="25000"/>
                    </a:schemeClr>
                  </a:gs>
                </a:gsLst>
                <a:lin ang="108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hu-HU"/>
          </a:p>
        </c:txPr>
        <c:crossAx val="16420340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dk1">
        <a:lumMod val="75000"/>
        <a:lumOff val="25000"/>
      </a:schemeClr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hu-H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none" baseline="0">
                <a:solidFill>
                  <a:schemeClr val="lt1">
                    <a:lumMod val="8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hu-HU"/>
              <a:t>Működési terület - Lakónépesség (fő)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none" baseline="0">
              <a:solidFill>
                <a:schemeClr val="lt1">
                  <a:lumMod val="8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hu-H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noFill/>
            <a:ln w="9525" cap="flat" cmpd="sng" algn="ctr">
              <a:solidFill>
                <a:schemeClr val="accent1"/>
              </a:solidFill>
              <a:miter lim="800000"/>
            </a:ln>
            <a:effectLst>
              <a:glow rad="63500">
                <a:schemeClr val="accent1">
                  <a:satMod val="175000"/>
                  <a:alpha val="25000"/>
                </a:schemeClr>
              </a:glo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7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hu-H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Munka6!$A$2:$A$13</c:f>
              <c:strCache>
                <c:ptCount val="12"/>
                <c:pt idx="0">
                  <c:v>Árpádhalom</c:v>
                </c:pt>
                <c:pt idx="1">
                  <c:v>Eperjes</c:v>
                </c:pt>
                <c:pt idx="2">
                  <c:v>Nagymágocs</c:v>
                </c:pt>
                <c:pt idx="3">
                  <c:v>Székkutas</c:v>
                </c:pt>
                <c:pt idx="4">
                  <c:v>Csorvás</c:v>
                </c:pt>
                <c:pt idx="5">
                  <c:v>Gerendás</c:v>
                </c:pt>
                <c:pt idx="6">
                  <c:v>Gádoros</c:v>
                </c:pt>
                <c:pt idx="7">
                  <c:v>Csanádapáca</c:v>
                </c:pt>
                <c:pt idx="8">
                  <c:v>Kardoskút</c:v>
                </c:pt>
                <c:pt idx="9">
                  <c:v>Nagyszénás</c:v>
                </c:pt>
                <c:pt idx="10">
                  <c:v>Pusztaföldvár</c:v>
                </c:pt>
                <c:pt idx="11">
                  <c:v>Orosháza</c:v>
                </c:pt>
              </c:strCache>
            </c:strRef>
          </c:cat>
          <c:val>
            <c:numRef>
              <c:f>Munka6!$B$2:$B$13</c:f>
              <c:numCache>
                <c:formatCode>General</c:formatCode>
                <c:ptCount val="12"/>
                <c:pt idx="0">
                  <c:v>483</c:v>
                </c:pt>
                <c:pt idx="1">
                  <c:v>486</c:v>
                </c:pt>
                <c:pt idx="2">
                  <c:v>2894</c:v>
                </c:pt>
                <c:pt idx="3">
                  <c:v>1941</c:v>
                </c:pt>
                <c:pt idx="4">
                  <c:v>4652</c:v>
                </c:pt>
                <c:pt idx="5">
                  <c:v>1187</c:v>
                </c:pt>
                <c:pt idx="6">
                  <c:v>3266</c:v>
                </c:pt>
                <c:pt idx="7">
                  <c:v>2366</c:v>
                </c:pt>
                <c:pt idx="8">
                  <c:v>781</c:v>
                </c:pt>
                <c:pt idx="9">
                  <c:v>4634</c:v>
                </c:pt>
                <c:pt idx="10">
                  <c:v>1472</c:v>
                </c:pt>
                <c:pt idx="11" formatCode="#,##0">
                  <c:v>27236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overlap val="-50"/>
        <c:axId val="1642028576"/>
        <c:axId val="1642030208"/>
      </c:barChart>
      <c:catAx>
        <c:axId val="1642028576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0">
                    <a:schemeClr val="dk1">
                      <a:lumMod val="65000"/>
                      <a:lumOff val="35000"/>
                    </a:schemeClr>
                  </a:gs>
                  <a:gs pos="100000">
                    <a:schemeClr val="dk1">
                      <a:lumMod val="75000"/>
                      <a:lumOff val="25000"/>
                    </a:schemeClr>
                  </a:gs>
                </a:gsLst>
                <a:lin ang="108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hu-HU"/>
          </a:p>
        </c:txPr>
        <c:crossAx val="1642030208"/>
        <c:crosses val="autoZero"/>
        <c:auto val="1"/>
        <c:lblAlgn val="ctr"/>
        <c:lblOffset val="100"/>
        <c:noMultiLvlLbl val="0"/>
      </c:catAx>
      <c:valAx>
        <c:axId val="1642030208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0">
                    <a:schemeClr val="dk1">
                      <a:lumMod val="65000"/>
                      <a:lumOff val="35000"/>
                    </a:schemeClr>
                  </a:gs>
                  <a:gs pos="100000">
                    <a:schemeClr val="dk1">
                      <a:lumMod val="75000"/>
                      <a:lumOff val="25000"/>
                    </a:schemeClr>
                  </a:gs>
                </a:gsLst>
                <a:lin ang="108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hu-HU"/>
          </a:p>
        </c:txPr>
        <c:crossAx val="16420285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dk1">
        <a:lumMod val="75000"/>
        <a:lumOff val="25000"/>
      </a:schemeClr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hu-H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none" baseline="0">
                <a:solidFill>
                  <a:schemeClr val="lt1">
                    <a:lumMod val="8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hu-HU"/>
              <a:t>Vonulások száma: 2015-2019 év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none" baseline="0">
              <a:solidFill>
                <a:schemeClr val="lt1">
                  <a:lumMod val="8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hu-H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Munka1!$A$2</c:f>
              <c:strCache>
                <c:ptCount val="1"/>
                <c:pt idx="0">
                  <c:v>Tűzeset</c:v>
                </c:pt>
              </c:strCache>
            </c:strRef>
          </c:tx>
          <c:spPr>
            <a:ln w="22225" cap="rnd">
              <a:solidFill>
                <a:schemeClr val="accent1"/>
              </a:solidFill>
            </a:ln>
            <a:effectLst>
              <a:glow rad="139700">
                <a:schemeClr val="accent1">
                  <a:satMod val="175000"/>
                  <a:alpha val="14000"/>
                </a:schemeClr>
              </a:glow>
            </a:effectLst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7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hu-H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Munka1!$B$1:$F$1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numCache>
            </c:numRef>
          </c:cat>
          <c:val>
            <c:numRef>
              <c:f>Munka1!$B$2:$F$2</c:f>
              <c:numCache>
                <c:formatCode>General</c:formatCode>
                <c:ptCount val="5"/>
                <c:pt idx="0">
                  <c:v>75</c:v>
                </c:pt>
                <c:pt idx="1">
                  <c:v>71</c:v>
                </c:pt>
                <c:pt idx="2">
                  <c:v>110</c:v>
                </c:pt>
                <c:pt idx="3">
                  <c:v>92</c:v>
                </c:pt>
                <c:pt idx="4">
                  <c:v>104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Munka1!$A$3</c:f>
              <c:strCache>
                <c:ptCount val="1"/>
                <c:pt idx="0">
                  <c:v>Műszaki mentés</c:v>
                </c:pt>
              </c:strCache>
            </c:strRef>
          </c:tx>
          <c:spPr>
            <a:ln w="22225" cap="rnd">
              <a:solidFill>
                <a:schemeClr val="accent2"/>
              </a:solidFill>
            </a:ln>
            <a:effectLst>
              <a:glow rad="139700">
                <a:schemeClr val="accent2">
                  <a:satMod val="175000"/>
                  <a:alpha val="14000"/>
                </a:schemeClr>
              </a:glow>
            </a:effectLst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7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hu-H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Munka1!$B$1:$F$1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numCache>
            </c:numRef>
          </c:cat>
          <c:val>
            <c:numRef>
              <c:f>Munka1!$B$3:$F$3</c:f>
              <c:numCache>
                <c:formatCode>General</c:formatCode>
                <c:ptCount val="5"/>
                <c:pt idx="0">
                  <c:v>93</c:v>
                </c:pt>
                <c:pt idx="1">
                  <c:v>100</c:v>
                </c:pt>
                <c:pt idx="2">
                  <c:v>641</c:v>
                </c:pt>
                <c:pt idx="3">
                  <c:v>160</c:v>
                </c:pt>
                <c:pt idx="4">
                  <c:v>224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Munka1!$A$4</c:f>
              <c:strCache>
                <c:ptCount val="1"/>
                <c:pt idx="0">
                  <c:v>Téves jelzés</c:v>
                </c:pt>
              </c:strCache>
            </c:strRef>
          </c:tx>
          <c:spPr>
            <a:ln w="22225" cap="rnd">
              <a:solidFill>
                <a:srgbClr val="00B050"/>
              </a:solidFill>
            </a:ln>
            <a:effectLst>
              <a:glow rad="63500">
                <a:srgbClr val="00B050">
                  <a:alpha val="25000"/>
                </a:srgbClr>
              </a:glow>
            </a:effectLst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7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hu-H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Munka1!$B$1:$F$1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numCache>
            </c:numRef>
          </c:cat>
          <c:val>
            <c:numRef>
              <c:f>Munka1!$B$4:$F$4</c:f>
              <c:numCache>
                <c:formatCode>General</c:formatCode>
                <c:ptCount val="5"/>
                <c:pt idx="0">
                  <c:v>38</c:v>
                </c:pt>
                <c:pt idx="1">
                  <c:v>52</c:v>
                </c:pt>
                <c:pt idx="2">
                  <c:v>34</c:v>
                </c:pt>
                <c:pt idx="3">
                  <c:v>43</c:v>
                </c:pt>
                <c:pt idx="4">
                  <c:v>43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Munka1!$A$5</c:f>
              <c:strCache>
                <c:ptCount val="1"/>
                <c:pt idx="0">
                  <c:v>Segítségnyújtás</c:v>
                </c:pt>
              </c:strCache>
            </c:strRef>
          </c:tx>
          <c:spPr>
            <a:ln w="22225" cap="rnd">
              <a:solidFill>
                <a:schemeClr val="accent4"/>
              </a:solidFill>
            </a:ln>
            <a:effectLst>
              <a:glow rad="139700">
                <a:schemeClr val="accent4">
                  <a:satMod val="175000"/>
                  <a:alpha val="14000"/>
                </a:schemeClr>
              </a:glow>
            </a:effectLst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7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hu-H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Munka1!$B$1:$F$1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numCache>
            </c:numRef>
          </c:cat>
          <c:val>
            <c:numRef>
              <c:f>Munka1!$B$5:$F$5</c:f>
              <c:numCache>
                <c:formatCode>General</c:formatCode>
                <c:ptCount val="5"/>
                <c:pt idx="0">
                  <c:v>20</c:v>
                </c:pt>
                <c:pt idx="1">
                  <c:v>42</c:v>
                </c:pt>
                <c:pt idx="2">
                  <c:v>58</c:v>
                </c:pt>
                <c:pt idx="3">
                  <c:v>54</c:v>
                </c:pt>
                <c:pt idx="4">
                  <c:v>113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Munka1!$A$6</c:f>
              <c:strCache>
                <c:ptCount val="1"/>
                <c:pt idx="0">
                  <c:v>Szándékosan megtévesztő jelzés</c:v>
                </c:pt>
              </c:strCache>
            </c:strRef>
          </c:tx>
          <c:spPr>
            <a:ln w="22225" cap="rnd">
              <a:solidFill>
                <a:schemeClr val="accent5"/>
              </a:solidFill>
            </a:ln>
            <a:effectLst>
              <a:glow rad="139700">
                <a:schemeClr val="accent5">
                  <a:satMod val="175000"/>
                  <a:alpha val="14000"/>
                </a:schemeClr>
              </a:glow>
            </a:effectLst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7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hu-H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Munka1!$B$1:$F$1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numCache>
            </c:numRef>
          </c:cat>
          <c:val>
            <c:numRef>
              <c:f>Munka1!$B$6:$F$6</c:f>
              <c:numCache>
                <c:formatCode>General</c:formatCode>
                <c:ptCount val="5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Munka1!$A$7</c:f>
              <c:strCache>
                <c:ptCount val="1"/>
                <c:pt idx="0">
                  <c:v>Σ</c:v>
                </c:pt>
              </c:strCache>
            </c:strRef>
          </c:tx>
          <c:spPr>
            <a:ln w="22225" cap="rnd">
              <a:solidFill>
                <a:schemeClr val="accent6"/>
              </a:solidFill>
            </a:ln>
            <a:effectLst>
              <a:glow rad="139700">
                <a:schemeClr val="accent6">
                  <a:satMod val="175000"/>
                  <a:alpha val="14000"/>
                </a:schemeClr>
              </a:glow>
            </a:effectLst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7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hu-H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Munka1!$B$1:$F$1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numCache>
            </c:numRef>
          </c:cat>
          <c:val>
            <c:numRef>
              <c:f>Munka1!$B$7:$F$7</c:f>
              <c:numCache>
                <c:formatCode>General</c:formatCode>
                <c:ptCount val="5"/>
                <c:pt idx="0">
                  <c:v>226</c:v>
                </c:pt>
                <c:pt idx="1">
                  <c:v>266</c:v>
                </c:pt>
                <c:pt idx="2">
                  <c:v>844</c:v>
                </c:pt>
                <c:pt idx="3">
                  <c:v>349</c:v>
                </c:pt>
                <c:pt idx="4">
                  <c:v>484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642020960"/>
        <c:axId val="1642031840"/>
      </c:lineChart>
      <c:catAx>
        <c:axId val="1642020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hu-HU"/>
          </a:p>
        </c:txPr>
        <c:crossAx val="1642031840"/>
        <c:crosses val="autoZero"/>
        <c:auto val="1"/>
        <c:lblAlgn val="ctr"/>
        <c:lblOffset val="100"/>
        <c:noMultiLvlLbl val="0"/>
      </c:catAx>
      <c:valAx>
        <c:axId val="1642031840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75000"/>
                      <a:lumOff val="25000"/>
                    </a:schemeClr>
                  </a:gs>
                  <a:gs pos="0">
                    <a:schemeClr val="dk1">
                      <a:lumMod val="65000"/>
                      <a:lumOff val="35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hu-HU"/>
          </a:p>
        </c:txPr>
        <c:crossAx val="16420209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7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hu-HU"/>
        </a:p>
      </c:txPr>
    </c:legend>
    <c:plotVisOnly val="1"/>
    <c:dispBlanksAs val="gap"/>
    <c:showDLblsOverMax val="0"/>
  </c:chart>
  <c:spPr>
    <a:solidFill>
      <a:schemeClr val="dk1">
        <a:lumMod val="75000"/>
        <a:lumOff val="25000"/>
      </a:schemeClr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hu-H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Munka2!$C$1</c:f>
              <c:strCache>
                <c:ptCount val="1"/>
                <c:pt idx="0">
                  <c:v>Árpádhalom</c:v>
                </c:pt>
              </c:strCache>
            </c:strRef>
          </c:tx>
          <c:spPr>
            <a:noFill/>
            <a:ln w="9525" cap="flat" cmpd="sng" algn="ctr">
              <a:solidFill>
                <a:schemeClr val="accent1"/>
              </a:solidFill>
              <a:miter lim="800000"/>
            </a:ln>
            <a:effectLst>
              <a:glow rad="63500">
                <a:schemeClr val="accent1">
                  <a:satMod val="175000"/>
                  <a:alpha val="25000"/>
                </a:schemeClr>
              </a:glo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7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hu-H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Munka2!$A$2:$A$5</c:f>
              <c:strCache>
                <c:ptCount val="4"/>
                <c:pt idx="0">
                  <c:v>Tűzeset</c:v>
                </c:pt>
                <c:pt idx="1">
                  <c:v>Műszaki mentés</c:v>
                </c:pt>
                <c:pt idx="2">
                  <c:v>Téves jelzés</c:v>
                </c:pt>
                <c:pt idx="3">
                  <c:v>Σ</c:v>
                </c:pt>
              </c:strCache>
            </c:strRef>
          </c:cat>
          <c:val>
            <c:numRef>
              <c:f>Munka2!$C$2:$C$5</c:f>
              <c:numCache>
                <c:formatCode>General</c:formatCode>
                <c:ptCount val="4"/>
                <c:pt idx="0">
                  <c:v>6</c:v>
                </c:pt>
                <c:pt idx="1">
                  <c:v>3</c:v>
                </c:pt>
                <c:pt idx="2">
                  <c:v>0</c:v>
                </c:pt>
                <c:pt idx="3">
                  <c:v>9</c:v>
                </c:pt>
              </c:numCache>
            </c:numRef>
          </c:val>
        </c:ser>
        <c:ser>
          <c:idx val="1"/>
          <c:order val="1"/>
          <c:tx>
            <c:strRef>
              <c:f>Munka2!$D$1</c:f>
              <c:strCache>
                <c:ptCount val="1"/>
                <c:pt idx="0">
                  <c:v>Csanádapáca</c:v>
                </c:pt>
              </c:strCache>
            </c:strRef>
          </c:tx>
          <c:spPr>
            <a:noFill/>
            <a:ln w="9525" cap="flat" cmpd="sng" algn="ctr">
              <a:solidFill>
                <a:schemeClr val="accent2"/>
              </a:solidFill>
              <a:miter lim="800000"/>
            </a:ln>
            <a:effectLst>
              <a:glow rad="63500">
                <a:schemeClr val="accent2">
                  <a:satMod val="175000"/>
                  <a:alpha val="25000"/>
                </a:schemeClr>
              </a:glo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7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hu-H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Munka2!$A$2:$A$5</c:f>
              <c:strCache>
                <c:ptCount val="4"/>
                <c:pt idx="0">
                  <c:v>Tűzeset</c:v>
                </c:pt>
                <c:pt idx="1">
                  <c:v>Műszaki mentés</c:v>
                </c:pt>
                <c:pt idx="2">
                  <c:v>Téves jelzés</c:v>
                </c:pt>
                <c:pt idx="3">
                  <c:v>Σ</c:v>
                </c:pt>
              </c:strCache>
            </c:strRef>
          </c:cat>
          <c:val>
            <c:numRef>
              <c:f>Munka2!$D$2:$D$5</c:f>
              <c:numCache>
                <c:formatCode>General</c:formatCode>
                <c:ptCount val="4"/>
                <c:pt idx="0">
                  <c:v>2</c:v>
                </c:pt>
                <c:pt idx="1">
                  <c:v>11</c:v>
                </c:pt>
                <c:pt idx="2">
                  <c:v>1</c:v>
                </c:pt>
                <c:pt idx="3">
                  <c:v>14</c:v>
                </c:pt>
              </c:numCache>
            </c:numRef>
          </c:val>
        </c:ser>
        <c:ser>
          <c:idx val="2"/>
          <c:order val="2"/>
          <c:tx>
            <c:strRef>
              <c:f>Munka2!$E$1</c:f>
              <c:strCache>
                <c:ptCount val="1"/>
                <c:pt idx="0">
                  <c:v>Csorvás</c:v>
                </c:pt>
              </c:strCache>
            </c:strRef>
          </c:tx>
          <c:spPr>
            <a:noFill/>
            <a:ln w="9525" cap="flat" cmpd="sng" algn="ctr">
              <a:solidFill>
                <a:schemeClr val="accent3"/>
              </a:solidFill>
              <a:miter lim="800000"/>
            </a:ln>
            <a:effectLst>
              <a:glow rad="63500">
                <a:schemeClr val="accent3">
                  <a:satMod val="175000"/>
                  <a:alpha val="25000"/>
                </a:schemeClr>
              </a:glo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7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hu-H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Munka2!$A$2:$A$5</c:f>
              <c:strCache>
                <c:ptCount val="4"/>
                <c:pt idx="0">
                  <c:v>Tűzeset</c:v>
                </c:pt>
                <c:pt idx="1">
                  <c:v>Műszaki mentés</c:v>
                </c:pt>
                <c:pt idx="2">
                  <c:v>Téves jelzés</c:v>
                </c:pt>
                <c:pt idx="3">
                  <c:v>Σ</c:v>
                </c:pt>
              </c:strCache>
            </c:strRef>
          </c:cat>
          <c:val>
            <c:numRef>
              <c:f>Munka2!$E$2:$E$5</c:f>
              <c:numCache>
                <c:formatCode>General</c:formatCode>
                <c:ptCount val="4"/>
                <c:pt idx="0">
                  <c:v>7</c:v>
                </c:pt>
                <c:pt idx="1">
                  <c:v>12</c:v>
                </c:pt>
                <c:pt idx="2">
                  <c:v>4</c:v>
                </c:pt>
                <c:pt idx="3">
                  <c:v>23</c:v>
                </c:pt>
              </c:numCache>
            </c:numRef>
          </c:val>
        </c:ser>
        <c:ser>
          <c:idx val="3"/>
          <c:order val="3"/>
          <c:tx>
            <c:strRef>
              <c:f>Munka2!$F$1</c:f>
              <c:strCache>
                <c:ptCount val="1"/>
                <c:pt idx="0">
                  <c:v>Eperjes</c:v>
                </c:pt>
              </c:strCache>
            </c:strRef>
          </c:tx>
          <c:spPr>
            <a:noFill/>
            <a:ln w="9525" cap="flat" cmpd="sng" algn="ctr">
              <a:solidFill>
                <a:schemeClr val="accent4"/>
              </a:solidFill>
              <a:miter lim="800000"/>
            </a:ln>
            <a:effectLst>
              <a:glow rad="63500">
                <a:schemeClr val="accent4">
                  <a:satMod val="175000"/>
                  <a:alpha val="25000"/>
                </a:schemeClr>
              </a:glo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7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hu-H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Munka2!$A$2:$A$5</c:f>
              <c:strCache>
                <c:ptCount val="4"/>
                <c:pt idx="0">
                  <c:v>Tűzeset</c:v>
                </c:pt>
                <c:pt idx="1">
                  <c:v>Műszaki mentés</c:v>
                </c:pt>
                <c:pt idx="2">
                  <c:v>Téves jelzés</c:v>
                </c:pt>
                <c:pt idx="3">
                  <c:v>Σ</c:v>
                </c:pt>
              </c:strCache>
            </c:strRef>
          </c:cat>
          <c:val>
            <c:numRef>
              <c:f>Munka2!$F$2:$F$5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1</c:v>
                </c:pt>
                <c:pt idx="3">
                  <c:v>6</c:v>
                </c:pt>
              </c:numCache>
            </c:numRef>
          </c:val>
        </c:ser>
        <c:ser>
          <c:idx val="4"/>
          <c:order val="4"/>
          <c:tx>
            <c:strRef>
              <c:f>Munka2!$G$1</c:f>
              <c:strCache>
                <c:ptCount val="1"/>
                <c:pt idx="0">
                  <c:v>Gádoros</c:v>
                </c:pt>
              </c:strCache>
            </c:strRef>
          </c:tx>
          <c:spPr>
            <a:noFill/>
            <a:ln w="9525" cap="flat" cmpd="sng" algn="ctr">
              <a:solidFill>
                <a:schemeClr val="accent5"/>
              </a:solidFill>
              <a:miter lim="800000"/>
            </a:ln>
            <a:effectLst>
              <a:glow rad="63500">
                <a:schemeClr val="accent5">
                  <a:satMod val="175000"/>
                  <a:alpha val="25000"/>
                </a:schemeClr>
              </a:glo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7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hu-H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Munka2!$A$2:$A$5</c:f>
              <c:strCache>
                <c:ptCount val="4"/>
                <c:pt idx="0">
                  <c:v>Tűzeset</c:v>
                </c:pt>
                <c:pt idx="1">
                  <c:v>Műszaki mentés</c:v>
                </c:pt>
                <c:pt idx="2">
                  <c:v>Téves jelzés</c:v>
                </c:pt>
                <c:pt idx="3">
                  <c:v>Σ</c:v>
                </c:pt>
              </c:strCache>
            </c:strRef>
          </c:cat>
          <c:val>
            <c:numRef>
              <c:f>Munka2!$G$2:$G$5</c:f>
              <c:numCache>
                <c:formatCode>General</c:formatCode>
                <c:ptCount val="4"/>
                <c:pt idx="0">
                  <c:v>4</c:v>
                </c:pt>
                <c:pt idx="1">
                  <c:v>5</c:v>
                </c:pt>
                <c:pt idx="2">
                  <c:v>0</c:v>
                </c:pt>
                <c:pt idx="3">
                  <c:v>9</c:v>
                </c:pt>
              </c:numCache>
            </c:numRef>
          </c:val>
        </c:ser>
        <c:ser>
          <c:idx val="5"/>
          <c:order val="5"/>
          <c:tx>
            <c:strRef>
              <c:f>Munka2!$H$1</c:f>
              <c:strCache>
                <c:ptCount val="1"/>
                <c:pt idx="0">
                  <c:v>Gerendás</c:v>
                </c:pt>
              </c:strCache>
            </c:strRef>
          </c:tx>
          <c:spPr>
            <a:noFill/>
            <a:ln w="9525" cap="flat" cmpd="sng" algn="ctr">
              <a:solidFill>
                <a:schemeClr val="accent6"/>
              </a:solidFill>
              <a:miter lim="800000"/>
            </a:ln>
            <a:effectLst>
              <a:glow rad="63500">
                <a:schemeClr val="accent6">
                  <a:satMod val="175000"/>
                  <a:alpha val="25000"/>
                </a:schemeClr>
              </a:glo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7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hu-H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Munka2!$A$2:$A$5</c:f>
              <c:strCache>
                <c:ptCount val="4"/>
                <c:pt idx="0">
                  <c:v>Tűzeset</c:v>
                </c:pt>
                <c:pt idx="1">
                  <c:v>Műszaki mentés</c:v>
                </c:pt>
                <c:pt idx="2">
                  <c:v>Téves jelzés</c:v>
                </c:pt>
                <c:pt idx="3">
                  <c:v>Σ</c:v>
                </c:pt>
              </c:strCache>
            </c:strRef>
          </c:cat>
          <c:val>
            <c:numRef>
              <c:f>Munka2!$H$2:$H$5</c:f>
              <c:numCache>
                <c:formatCode>General</c:formatCode>
                <c:ptCount val="4"/>
                <c:pt idx="0">
                  <c:v>1</c:v>
                </c:pt>
                <c:pt idx="1">
                  <c:v>3</c:v>
                </c:pt>
                <c:pt idx="2">
                  <c:v>0</c:v>
                </c:pt>
                <c:pt idx="3">
                  <c:v>4</c:v>
                </c:pt>
              </c:numCache>
            </c:numRef>
          </c:val>
        </c:ser>
        <c:ser>
          <c:idx val="6"/>
          <c:order val="6"/>
          <c:tx>
            <c:strRef>
              <c:f>Munka2!$I$1</c:f>
              <c:strCache>
                <c:ptCount val="1"/>
                <c:pt idx="0">
                  <c:v>Kardoskút</c:v>
                </c:pt>
              </c:strCache>
            </c:strRef>
          </c:tx>
          <c:spPr>
            <a:noFill/>
            <a:ln w="9525" cap="flat" cmpd="sng" algn="ctr">
              <a:solidFill>
                <a:schemeClr val="accent1">
                  <a:lumMod val="60000"/>
                </a:schemeClr>
              </a:solidFill>
              <a:miter lim="800000"/>
            </a:ln>
            <a:effectLst>
              <a:glow rad="63500">
                <a:schemeClr val="accent1">
                  <a:lumMod val="60000"/>
                  <a:satMod val="175000"/>
                  <a:alpha val="25000"/>
                </a:schemeClr>
              </a:glo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7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hu-H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Munka2!$A$2:$A$5</c:f>
              <c:strCache>
                <c:ptCount val="4"/>
                <c:pt idx="0">
                  <c:v>Tűzeset</c:v>
                </c:pt>
                <c:pt idx="1">
                  <c:v>Műszaki mentés</c:v>
                </c:pt>
                <c:pt idx="2">
                  <c:v>Téves jelzés</c:v>
                </c:pt>
                <c:pt idx="3">
                  <c:v>Σ</c:v>
                </c:pt>
              </c:strCache>
            </c:strRef>
          </c:cat>
          <c:val>
            <c:numRef>
              <c:f>Munka2!$I$2:$I$5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0</c:v>
                </c:pt>
                <c:pt idx="3">
                  <c:v>5</c:v>
                </c:pt>
              </c:numCache>
            </c:numRef>
          </c:val>
        </c:ser>
        <c:ser>
          <c:idx val="7"/>
          <c:order val="7"/>
          <c:tx>
            <c:strRef>
              <c:f>Munka2!$J$1</c:f>
              <c:strCache>
                <c:ptCount val="1"/>
                <c:pt idx="0">
                  <c:v>Nagymágocs</c:v>
                </c:pt>
              </c:strCache>
            </c:strRef>
          </c:tx>
          <c:spPr>
            <a:noFill/>
            <a:ln w="9525" cap="flat" cmpd="sng" algn="ctr">
              <a:solidFill>
                <a:schemeClr val="accent2">
                  <a:lumMod val="60000"/>
                </a:schemeClr>
              </a:solidFill>
              <a:miter lim="800000"/>
            </a:ln>
            <a:effectLst>
              <a:glow rad="63500">
                <a:schemeClr val="accent2">
                  <a:lumMod val="60000"/>
                  <a:satMod val="175000"/>
                  <a:alpha val="25000"/>
                </a:schemeClr>
              </a:glo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7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hu-H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Munka2!$A$2:$A$5</c:f>
              <c:strCache>
                <c:ptCount val="4"/>
                <c:pt idx="0">
                  <c:v>Tűzeset</c:v>
                </c:pt>
                <c:pt idx="1">
                  <c:v>Műszaki mentés</c:v>
                </c:pt>
                <c:pt idx="2">
                  <c:v>Téves jelzés</c:v>
                </c:pt>
                <c:pt idx="3">
                  <c:v>Σ</c:v>
                </c:pt>
              </c:strCache>
            </c:strRef>
          </c:cat>
          <c:val>
            <c:numRef>
              <c:f>Munka2!$J$2:$J$5</c:f>
              <c:numCache>
                <c:formatCode>General</c:formatCode>
                <c:ptCount val="4"/>
                <c:pt idx="0">
                  <c:v>5</c:v>
                </c:pt>
                <c:pt idx="1">
                  <c:v>6</c:v>
                </c:pt>
                <c:pt idx="2">
                  <c:v>1</c:v>
                </c:pt>
                <c:pt idx="3">
                  <c:v>12</c:v>
                </c:pt>
              </c:numCache>
            </c:numRef>
          </c:val>
        </c:ser>
        <c:ser>
          <c:idx val="8"/>
          <c:order val="8"/>
          <c:tx>
            <c:strRef>
              <c:f>Munka2!$K$1</c:f>
              <c:strCache>
                <c:ptCount val="1"/>
                <c:pt idx="0">
                  <c:v>Nagyszénás</c:v>
                </c:pt>
              </c:strCache>
            </c:strRef>
          </c:tx>
          <c:spPr>
            <a:noFill/>
            <a:ln w="9525" cap="flat" cmpd="sng" algn="ctr">
              <a:solidFill>
                <a:schemeClr val="accent3">
                  <a:lumMod val="60000"/>
                </a:schemeClr>
              </a:solidFill>
              <a:miter lim="800000"/>
            </a:ln>
            <a:effectLst>
              <a:glow rad="63500">
                <a:schemeClr val="accent3">
                  <a:lumMod val="60000"/>
                  <a:satMod val="175000"/>
                  <a:alpha val="25000"/>
                </a:schemeClr>
              </a:glo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7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hu-H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Munka2!$A$2:$A$5</c:f>
              <c:strCache>
                <c:ptCount val="4"/>
                <c:pt idx="0">
                  <c:v>Tűzeset</c:v>
                </c:pt>
                <c:pt idx="1">
                  <c:v>Műszaki mentés</c:v>
                </c:pt>
                <c:pt idx="2">
                  <c:v>Téves jelzés</c:v>
                </c:pt>
                <c:pt idx="3">
                  <c:v>Σ</c:v>
                </c:pt>
              </c:strCache>
            </c:strRef>
          </c:cat>
          <c:val>
            <c:numRef>
              <c:f>Munka2!$K$2:$K$5</c:f>
              <c:numCache>
                <c:formatCode>General</c:formatCode>
                <c:ptCount val="4"/>
                <c:pt idx="0">
                  <c:v>5</c:v>
                </c:pt>
                <c:pt idx="1">
                  <c:v>6</c:v>
                </c:pt>
                <c:pt idx="2">
                  <c:v>0</c:v>
                </c:pt>
                <c:pt idx="3">
                  <c:v>11</c:v>
                </c:pt>
              </c:numCache>
            </c:numRef>
          </c:val>
        </c:ser>
        <c:ser>
          <c:idx val="9"/>
          <c:order val="9"/>
          <c:tx>
            <c:strRef>
              <c:f>Munka2!$L$1</c:f>
              <c:strCache>
                <c:ptCount val="1"/>
                <c:pt idx="0">
                  <c:v>Pusztaföldvár</c:v>
                </c:pt>
              </c:strCache>
            </c:strRef>
          </c:tx>
          <c:spPr>
            <a:noFill/>
            <a:ln w="9525" cap="flat" cmpd="sng" algn="ctr">
              <a:solidFill>
                <a:schemeClr val="accent4">
                  <a:lumMod val="60000"/>
                </a:schemeClr>
              </a:solidFill>
              <a:miter lim="800000"/>
            </a:ln>
            <a:effectLst>
              <a:glow rad="63500">
                <a:schemeClr val="accent4">
                  <a:lumMod val="60000"/>
                  <a:satMod val="175000"/>
                  <a:alpha val="25000"/>
                </a:schemeClr>
              </a:glo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7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hu-H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Munka2!$A$2:$A$5</c:f>
              <c:strCache>
                <c:ptCount val="4"/>
                <c:pt idx="0">
                  <c:v>Tűzeset</c:v>
                </c:pt>
                <c:pt idx="1">
                  <c:v>Műszaki mentés</c:v>
                </c:pt>
                <c:pt idx="2">
                  <c:v>Téves jelzés</c:v>
                </c:pt>
                <c:pt idx="3">
                  <c:v>Σ</c:v>
                </c:pt>
              </c:strCache>
            </c:strRef>
          </c:cat>
          <c:val>
            <c:numRef>
              <c:f>Munka2!$L$2:$L$5</c:f>
              <c:numCache>
                <c:formatCode>General</c:formatCode>
                <c:ptCount val="4"/>
                <c:pt idx="0">
                  <c:v>6</c:v>
                </c:pt>
                <c:pt idx="1">
                  <c:v>7</c:v>
                </c:pt>
                <c:pt idx="2">
                  <c:v>2</c:v>
                </c:pt>
                <c:pt idx="3">
                  <c:v>15</c:v>
                </c:pt>
              </c:numCache>
            </c:numRef>
          </c:val>
        </c:ser>
        <c:ser>
          <c:idx val="10"/>
          <c:order val="10"/>
          <c:tx>
            <c:strRef>
              <c:f>Munka2!$M$1</c:f>
              <c:strCache>
                <c:ptCount val="1"/>
                <c:pt idx="0">
                  <c:v>Székkutas</c:v>
                </c:pt>
              </c:strCache>
            </c:strRef>
          </c:tx>
          <c:spPr>
            <a:noFill/>
            <a:ln w="9525" cap="flat" cmpd="sng" algn="ctr">
              <a:solidFill>
                <a:schemeClr val="accent5">
                  <a:lumMod val="60000"/>
                </a:schemeClr>
              </a:solidFill>
              <a:miter lim="800000"/>
            </a:ln>
            <a:effectLst>
              <a:glow rad="63500">
                <a:schemeClr val="accent5">
                  <a:lumMod val="60000"/>
                  <a:satMod val="175000"/>
                  <a:alpha val="25000"/>
                </a:schemeClr>
              </a:glo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7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hu-H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Munka2!$A$2:$A$5</c:f>
              <c:strCache>
                <c:ptCount val="4"/>
                <c:pt idx="0">
                  <c:v>Tűzeset</c:v>
                </c:pt>
                <c:pt idx="1">
                  <c:v>Műszaki mentés</c:v>
                </c:pt>
                <c:pt idx="2">
                  <c:v>Téves jelzés</c:v>
                </c:pt>
                <c:pt idx="3">
                  <c:v>Σ</c:v>
                </c:pt>
              </c:strCache>
            </c:strRef>
          </c:cat>
          <c:val>
            <c:numRef>
              <c:f>Munka2!$M$2:$M$5</c:f>
              <c:numCache>
                <c:formatCode>General</c:formatCode>
                <c:ptCount val="4"/>
                <c:pt idx="0">
                  <c:v>3</c:v>
                </c:pt>
                <c:pt idx="1">
                  <c:v>6</c:v>
                </c:pt>
                <c:pt idx="2">
                  <c:v>1</c:v>
                </c:pt>
                <c:pt idx="3">
                  <c:v>10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315"/>
        <c:overlap val="-40"/>
        <c:axId val="1642035648"/>
        <c:axId val="1642022592"/>
      </c:barChart>
      <c:catAx>
        <c:axId val="1642035648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75000"/>
                      <a:lumOff val="25000"/>
                    </a:schemeClr>
                  </a:gs>
                  <a:gs pos="0">
                    <a:schemeClr val="dk1">
                      <a:lumMod val="65000"/>
                      <a:lumOff val="35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hu-HU"/>
          </a:p>
        </c:txPr>
        <c:crossAx val="1642022592"/>
        <c:crosses val="autoZero"/>
        <c:auto val="1"/>
        <c:lblAlgn val="ctr"/>
        <c:lblOffset val="100"/>
        <c:noMultiLvlLbl val="0"/>
      </c:catAx>
      <c:valAx>
        <c:axId val="1642022592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75000"/>
                      <a:lumOff val="25000"/>
                    </a:schemeClr>
                  </a:gs>
                  <a:gs pos="0">
                    <a:schemeClr val="dk1">
                      <a:lumMod val="65000"/>
                      <a:lumOff val="35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hu-HU"/>
          </a:p>
        </c:txPr>
        <c:crossAx val="164203564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dk1">
                <a:lumMod val="50000"/>
                <a:lumOff val="50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hu-H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dk1">
        <a:lumMod val="75000"/>
        <a:lumOff val="25000"/>
      </a:schemeClr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hu-H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Munka2!$B$1</c:f>
              <c:strCache>
                <c:ptCount val="1"/>
                <c:pt idx="0">
                  <c:v>Orosháza</c:v>
                </c:pt>
              </c:strCache>
            </c:strRef>
          </c:tx>
          <c:spPr>
            <a:noFill/>
            <a:ln w="9525" cap="flat" cmpd="sng" algn="ctr">
              <a:solidFill>
                <a:schemeClr val="accent1"/>
              </a:solidFill>
              <a:miter lim="800000"/>
            </a:ln>
            <a:effectLst>
              <a:glow rad="63500">
                <a:schemeClr val="accent1">
                  <a:satMod val="175000"/>
                  <a:alpha val="25000"/>
                </a:schemeClr>
              </a:glo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7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hu-H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Munka2!$A$2:$A$5</c:f>
              <c:strCache>
                <c:ptCount val="4"/>
                <c:pt idx="0">
                  <c:v>Tűzeset</c:v>
                </c:pt>
                <c:pt idx="1">
                  <c:v>Műszaki mentés</c:v>
                </c:pt>
                <c:pt idx="2">
                  <c:v>Téves jelzés</c:v>
                </c:pt>
                <c:pt idx="3">
                  <c:v>Σ</c:v>
                </c:pt>
              </c:strCache>
            </c:strRef>
          </c:cat>
          <c:val>
            <c:numRef>
              <c:f>Munka2!$B$2:$B$5</c:f>
              <c:numCache>
                <c:formatCode>General</c:formatCode>
                <c:ptCount val="4"/>
                <c:pt idx="0">
                  <c:v>61</c:v>
                </c:pt>
                <c:pt idx="1">
                  <c:v>159</c:v>
                </c:pt>
                <c:pt idx="2">
                  <c:v>33</c:v>
                </c:pt>
                <c:pt idx="3">
                  <c:v>253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15"/>
        <c:overlap val="-40"/>
        <c:axId val="1642025312"/>
        <c:axId val="1642027488"/>
      </c:barChart>
      <c:catAx>
        <c:axId val="1642025312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75000"/>
                      <a:lumOff val="25000"/>
                    </a:schemeClr>
                  </a:gs>
                  <a:gs pos="0">
                    <a:schemeClr val="dk1">
                      <a:lumMod val="65000"/>
                      <a:lumOff val="35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hu-HU"/>
          </a:p>
        </c:txPr>
        <c:crossAx val="1642027488"/>
        <c:crosses val="autoZero"/>
        <c:auto val="1"/>
        <c:lblAlgn val="ctr"/>
        <c:lblOffset val="100"/>
        <c:noMultiLvlLbl val="0"/>
      </c:catAx>
      <c:valAx>
        <c:axId val="1642027488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75000"/>
                      <a:lumOff val="25000"/>
                    </a:schemeClr>
                  </a:gs>
                  <a:gs pos="0">
                    <a:schemeClr val="dk1">
                      <a:lumMod val="65000"/>
                      <a:lumOff val="35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hu-HU"/>
          </a:p>
        </c:txPr>
        <c:crossAx val="164202531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dk1">
                <a:lumMod val="50000"/>
                <a:lumOff val="50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hu-H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dk1">
        <a:lumMod val="75000"/>
        <a:lumOff val="25000"/>
      </a:schemeClr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hu-H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hu-HU"/>
              <a:t>Gyakorlatok 2019. év.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hu-H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6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hu-H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Munka5!$A$1:$A$5</c:f>
              <c:strCache>
                <c:ptCount val="5"/>
                <c:pt idx="0">
                  <c:v>megyei ellenőrző gyakorlat</c:v>
                </c:pt>
                <c:pt idx="1">
                  <c:v>kirendeltségi gyakorlat</c:v>
                </c:pt>
                <c:pt idx="2">
                  <c:v>parancsnoki ellenőrző gyakorlat</c:v>
                </c:pt>
                <c:pt idx="3">
                  <c:v>szituációs begyakorló gyakorlat</c:v>
                </c:pt>
                <c:pt idx="4">
                  <c:v>helyismereti foglalkozás</c:v>
                </c:pt>
              </c:strCache>
            </c:strRef>
          </c:cat>
          <c:val>
            <c:numRef>
              <c:f>Munka5!$B$1:$B$5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8</c:v>
                </c:pt>
                <c:pt idx="3">
                  <c:v>21</c:v>
                </c:pt>
                <c:pt idx="4">
                  <c:v>45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5"/>
        <c:overlap val="-20"/>
        <c:axId val="1394310208"/>
        <c:axId val="1394310752"/>
      </c:barChart>
      <c:catAx>
        <c:axId val="139431020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hu-HU"/>
          </a:p>
        </c:txPr>
        <c:crossAx val="1394310752"/>
        <c:crosses val="autoZero"/>
        <c:auto val="1"/>
        <c:lblAlgn val="ctr"/>
        <c:lblOffset val="100"/>
        <c:noMultiLvlLbl val="0"/>
      </c:catAx>
      <c:valAx>
        <c:axId val="139431075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hu-HU"/>
          </a:p>
        </c:txPr>
        <c:crossAx val="13943102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hu-H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none" baseline="0">
                <a:solidFill>
                  <a:schemeClr val="lt1">
                    <a:lumMod val="8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hu-HU"/>
              <a:t>Illetékességi terület - Terület (ha)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none" baseline="0">
              <a:solidFill>
                <a:schemeClr val="lt1">
                  <a:lumMod val="8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hu-H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noFill/>
            <a:ln w="9525" cap="flat" cmpd="sng" algn="ctr">
              <a:solidFill>
                <a:schemeClr val="accent1"/>
              </a:solidFill>
              <a:miter lim="800000"/>
            </a:ln>
            <a:effectLst>
              <a:glow rad="63500">
                <a:schemeClr val="accent1">
                  <a:satMod val="175000"/>
                  <a:alpha val="25000"/>
                </a:schemeClr>
              </a:glo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7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hu-H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Munka6!$E$17:$E$24</c:f>
              <c:strCache>
                <c:ptCount val="8"/>
                <c:pt idx="0">
                  <c:v>Békéssámson</c:v>
                </c:pt>
                <c:pt idx="1">
                  <c:v>Gádoros</c:v>
                </c:pt>
                <c:pt idx="2">
                  <c:v>Csanádapáca</c:v>
                </c:pt>
                <c:pt idx="3">
                  <c:v>Kardoskút</c:v>
                </c:pt>
                <c:pt idx="4">
                  <c:v>Nagyszénás</c:v>
                </c:pt>
                <c:pt idx="5">
                  <c:v>Orosháza</c:v>
                </c:pt>
                <c:pt idx="6">
                  <c:v>Pusztaföldvár</c:v>
                </c:pt>
                <c:pt idx="7">
                  <c:v>Tótkomlós</c:v>
                </c:pt>
              </c:strCache>
            </c:strRef>
          </c:cat>
          <c:val>
            <c:numRef>
              <c:f>Munka6!$F$17:$F$24</c:f>
              <c:numCache>
                <c:formatCode>General</c:formatCode>
                <c:ptCount val="8"/>
                <c:pt idx="0">
                  <c:v>7121</c:v>
                </c:pt>
                <c:pt idx="1">
                  <c:v>3813</c:v>
                </c:pt>
                <c:pt idx="2">
                  <c:v>5130</c:v>
                </c:pt>
                <c:pt idx="3">
                  <c:v>7658</c:v>
                </c:pt>
                <c:pt idx="4">
                  <c:v>9556</c:v>
                </c:pt>
                <c:pt idx="5" formatCode="#,##0">
                  <c:v>20222</c:v>
                </c:pt>
                <c:pt idx="6">
                  <c:v>5713</c:v>
                </c:pt>
                <c:pt idx="7">
                  <c:v>12505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overlap val="-50"/>
        <c:axId val="1164825376"/>
        <c:axId val="1164821568"/>
      </c:barChart>
      <c:catAx>
        <c:axId val="1164825376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0">
                    <a:schemeClr val="dk1">
                      <a:lumMod val="65000"/>
                      <a:lumOff val="35000"/>
                    </a:schemeClr>
                  </a:gs>
                  <a:gs pos="100000">
                    <a:schemeClr val="dk1">
                      <a:lumMod val="75000"/>
                      <a:lumOff val="25000"/>
                    </a:schemeClr>
                  </a:gs>
                </a:gsLst>
                <a:lin ang="108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hu-HU"/>
          </a:p>
        </c:txPr>
        <c:crossAx val="1164821568"/>
        <c:crosses val="autoZero"/>
        <c:auto val="1"/>
        <c:lblAlgn val="ctr"/>
        <c:lblOffset val="100"/>
        <c:noMultiLvlLbl val="0"/>
      </c:catAx>
      <c:valAx>
        <c:axId val="1164821568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0">
                    <a:schemeClr val="dk1">
                      <a:lumMod val="65000"/>
                      <a:lumOff val="35000"/>
                    </a:schemeClr>
                  </a:gs>
                  <a:gs pos="100000">
                    <a:schemeClr val="dk1">
                      <a:lumMod val="75000"/>
                      <a:lumOff val="25000"/>
                    </a:schemeClr>
                  </a:gs>
                </a:gsLst>
                <a:lin ang="108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hu-HU"/>
          </a:p>
        </c:txPr>
        <c:crossAx val="11648253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dk1">
        <a:lumMod val="75000"/>
        <a:lumOff val="25000"/>
      </a:schemeClr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hu-H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none" baseline="0">
                <a:solidFill>
                  <a:schemeClr val="lt1">
                    <a:lumMod val="8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hu-HU"/>
              <a:t>Illetékességi terület - Lakónépesség (fő)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none" baseline="0">
              <a:solidFill>
                <a:schemeClr val="lt1">
                  <a:lumMod val="8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hu-H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noFill/>
            <a:ln w="9525" cap="flat" cmpd="sng" algn="ctr">
              <a:solidFill>
                <a:schemeClr val="accent1"/>
              </a:solidFill>
              <a:miter lim="800000"/>
            </a:ln>
            <a:effectLst>
              <a:glow rad="63500">
                <a:schemeClr val="accent1">
                  <a:satMod val="175000"/>
                  <a:alpha val="25000"/>
                </a:schemeClr>
              </a:glo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7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hu-H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Munka6!$E$2:$E$9</c:f>
              <c:strCache>
                <c:ptCount val="8"/>
                <c:pt idx="0">
                  <c:v>Békéssámson</c:v>
                </c:pt>
                <c:pt idx="1">
                  <c:v>Gádoros</c:v>
                </c:pt>
                <c:pt idx="2">
                  <c:v>Csanádapáca</c:v>
                </c:pt>
                <c:pt idx="3">
                  <c:v>Kardoskút</c:v>
                </c:pt>
                <c:pt idx="4">
                  <c:v>Nagyszénás</c:v>
                </c:pt>
                <c:pt idx="5">
                  <c:v>Orosháza</c:v>
                </c:pt>
                <c:pt idx="6">
                  <c:v>Pusztaföldvár</c:v>
                </c:pt>
                <c:pt idx="7">
                  <c:v>Tótkomlós</c:v>
                </c:pt>
              </c:strCache>
            </c:strRef>
          </c:cat>
          <c:val>
            <c:numRef>
              <c:f>Munka6!$F$2:$F$9</c:f>
              <c:numCache>
                <c:formatCode>General</c:formatCode>
                <c:ptCount val="8"/>
                <c:pt idx="0">
                  <c:v>2289</c:v>
                </c:pt>
                <c:pt idx="1">
                  <c:v>3266</c:v>
                </c:pt>
                <c:pt idx="2">
                  <c:v>2366</c:v>
                </c:pt>
                <c:pt idx="3">
                  <c:v>781</c:v>
                </c:pt>
                <c:pt idx="4">
                  <c:v>4634</c:v>
                </c:pt>
                <c:pt idx="5" formatCode="#,##0">
                  <c:v>27236</c:v>
                </c:pt>
                <c:pt idx="6">
                  <c:v>1472</c:v>
                </c:pt>
                <c:pt idx="7">
                  <c:v>5615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overlap val="-50"/>
        <c:axId val="1636052448"/>
        <c:axId val="1636051904"/>
      </c:barChart>
      <c:catAx>
        <c:axId val="1636052448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0">
                    <a:schemeClr val="dk1">
                      <a:lumMod val="65000"/>
                      <a:lumOff val="35000"/>
                    </a:schemeClr>
                  </a:gs>
                  <a:gs pos="100000">
                    <a:schemeClr val="dk1">
                      <a:lumMod val="75000"/>
                      <a:lumOff val="25000"/>
                    </a:schemeClr>
                  </a:gs>
                </a:gsLst>
                <a:lin ang="108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hu-HU"/>
          </a:p>
        </c:txPr>
        <c:crossAx val="1636051904"/>
        <c:crosses val="autoZero"/>
        <c:auto val="1"/>
        <c:lblAlgn val="ctr"/>
        <c:lblOffset val="100"/>
        <c:noMultiLvlLbl val="0"/>
      </c:catAx>
      <c:valAx>
        <c:axId val="1636051904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0">
                    <a:schemeClr val="dk1">
                      <a:lumMod val="65000"/>
                      <a:lumOff val="35000"/>
                    </a:schemeClr>
                  </a:gs>
                  <a:gs pos="100000">
                    <a:schemeClr val="dk1">
                      <a:lumMod val="75000"/>
                      <a:lumOff val="25000"/>
                    </a:schemeClr>
                  </a:gs>
                </a:gsLst>
                <a:lin ang="108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hu-HU"/>
          </a:p>
        </c:txPr>
        <c:crossAx val="16360524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dk1">
        <a:lumMod val="75000"/>
        <a:lumOff val="25000"/>
      </a:schemeClr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hu-H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9">
  <cs:axisTitle>
    <cs:lnRef idx="0"/>
    <cs:fillRef idx="0"/>
    <cs:effectRef idx="0"/>
    <cs:fontRef idx="minor">
      <a:schemeClr val="lt1">
        <a:lumMod val="75000"/>
      </a:schemeClr>
    </cs:fontRef>
    <cs:defRPr sz="900" b="1" kern="1200"/>
  </cs:axisTitle>
  <cs:categoryAxis>
    <cs:lnRef idx="0"/>
    <cs:fillRef idx="0"/>
    <cs:effectRef idx="0"/>
    <cs:fontRef idx="minor">
      <a:schemeClr val="lt1">
        <a:lumMod val="7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>
        <a:lumMod val="75000"/>
      </a:schemeClr>
    </cs:fontRef>
    <cs:defRPr sz="900" kern="1200"/>
  </cs:dataLabel>
  <cs:dataLabelCallout>
    <cs:lnRef idx="0"/>
    <cs:fillRef idx="0"/>
    <cs:effectRef idx="0"/>
    <cs:fontRef idx="minor">
      <a:schemeClr val="lt1">
        <a:lumMod val="15000"/>
        <a:lumOff val="85000"/>
      </a:schemeClr>
    </cs:fontRef>
    <cs:spPr>
      <a:solidFill>
        <a:schemeClr val="dk1">
          <a:lumMod val="65000"/>
          <a:lumOff val="3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/>
    <cs:effectRef idx="0">
      <cs:styleClr val="auto"/>
    </cs:effectRef>
    <cs:fontRef idx="minor">
      <a:schemeClr val="dk1"/>
    </cs:fontRef>
    <cs:spPr>
      <a:ln w="9525" cap="flat" cmpd="sng" algn="ctr">
        <a:solidFill>
          <a:schemeClr val="phClr"/>
        </a:solidFill>
        <a:miter lim="800000"/>
      </a:ln>
      <a:effectLst>
        <a:glow rad="63500">
          <a:schemeClr val="phClr">
            <a:satMod val="175000"/>
            <a:alpha val="25000"/>
          </a:schemeClr>
        </a:glow>
      </a:effectLst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ln w="9525" cap="flat" cmpd="sng" algn="ctr">
        <a:solidFill>
          <a:schemeClr val="phClr"/>
        </a:solidFill>
        <a:miter lim="800000"/>
      </a:ln>
      <a:effectLst>
        <a:glow rad="63500">
          <a:schemeClr val="phClr">
            <a:satMod val="175000"/>
            <a:alpha val="25000"/>
          </a:schemeClr>
        </a:glow>
      </a:effectLst>
    </cs:spPr>
  </cs:dataPoint3D>
  <cs:dataPointLine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ln w="22225" cap="rnd">
        <a:solidFill>
          <a:schemeClr val="phClr"/>
        </a:solidFill>
      </a:ln>
      <a:effectLst>
        <a:glow rad="139700">
          <a:schemeClr val="phClr">
            <a:satMod val="175000"/>
            <a:alpha val="14000"/>
          </a:schemeClr>
        </a:glow>
      </a:effectLst>
    </cs:spPr>
  </cs:dataPointLine>
  <cs:dataPointMarker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lumMod val="60000"/>
          <a:lumOff val="40000"/>
        </a:schemeClr>
      </a:solidFill>
      <a:effectLst>
        <a:glow rad="63500">
          <a:schemeClr val="phClr">
            <a:satMod val="175000"/>
            <a:alpha val="25000"/>
          </a:schemeClr>
        </a:glow>
      </a:effectLst>
    </cs:spPr>
  </cs:dataPointMarker>
  <cs:dataPointMarkerLayout symbol="circle" size="4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75000"/>
      </a:schemeClr>
    </cs:fontRef>
    <cs:spPr>
      <a:ln w="9525">
        <a:solidFill>
          <a:schemeClr val="dk1">
            <a:lumMod val="50000"/>
            <a:lumOff val="50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7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dk1">
                <a:lumMod val="65000"/>
                <a:lumOff val="35000"/>
              </a:schemeClr>
            </a:gs>
            <a:gs pos="100000">
              <a:schemeClr val="dk1">
                <a:lumMod val="75000"/>
                <a:lumOff val="25000"/>
              </a:schemeClr>
            </a:gs>
          </a:gsLst>
          <a:lin ang="10800000" scaled="0"/>
        </a:gradFill>
        <a:round/>
      </a:ln>
      <a:effectLst/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75000"/>
                <a:lumOff val="25000"/>
                <a:alpha val="25000"/>
              </a:schemeClr>
            </a:gs>
            <a:gs pos="0">
              <a:schemeClr val="dk1">
                <a:lumMod val="65000"/>
                <a:lumOff val="35000"/>
                <a:alpha val="2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leaderLine>
  <cs:legend>
    <cs:lnRef idx="0"/>
    <cs:fillRef idx="0"/>
    <cs:effectRef idx="0"/>
    <cs:fontRef idx="minor">
      <a:schemeClr val="lt1">
        <a:lumMod val="7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lt1">
        <a:lumMod val="7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85000"/>
      </a:schemeClr>
    </cs:fontRef>
    <cs:defRPr sz="1400" b="1" kern="1200" cap="none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25400" cap="rnd">
        <a:solidFill>
          <a:schemeClr val="phClr">
            <a:alpha val="50000"/>
          </a:schemeClr>
        </a:solidFill>
      </a:ln>
    </cs:spPr>
  </cs:trendline>
  <cs:trendlineLabel>
    <cs:lnRef idx="0"/>
    <cs:fillRef idx="0"/>
    <cs:effectRef idx="0"/>
    <cs:fontRef idx="minor">
      <a:schemeClr val="lt1">
        <a:lumMod val="7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85000"/>
        </a:schemeClr>
      </a:solidFill>
      <a:ln w="9525">
        <a:solidFill>
          <a:schemeClr val="dk1">
            <a:lumMod val="50000"/>
          </a:schemeClr>
        </a:solidFill>
        <a:round/>
      </a:ln>
    </cs:spPr>
  </cs:upBar>
  <cs:valueAxis>
    <cs:lnRef idx="0"/>
    <cs:fillRef idx="0"/>
    <cs:effectRef idx="0"/>
    <cs:fontRef idx="minor">
      <a:schemeClr val="lt1">
        <a:lumMod val="7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39">
  <cs:axisTitle>
    <cs:lnRef idx="0"/>
    <cs:fillRef idx="0"/>
    <cs:effectRef idx="0"/>
    <cs:fontRef idx="minor">
      <a:schemeClr val="lt1">
        <a:lumMod val="75000"/>
      </a:schemeClr>
    </cs:fontRef>
    <cs:defRPr sz="900" b="1" kern="1200"/>
  </cs:axisTitle>
  <cs:categoryAxis>
    <cs:lnRef idx="0"/>
    <cs:fillRef idx="0"/>
    <cs:effectRef idx="0"/>
    <cs:fontRef idx="minor">
      <a:schemeClr val="lt1">
        <a:lumMod val="7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>
        <a:lumMod val="75000"/>
      </a:schemeClr>
    </cs:fontRef>
    <cs:defRPr sz="900" kern="1200"/>
  </cs:dataLabel>
  <cs:dataLabelCallout>
    <cs:lnRef idx="0"/>
    <cs:fillRef idx="0"/>
    <cs:effectRef idx="0"/>
    <cs:fontRef idx="minor">
      <a:schemeClr val="lt1">
        <a:lumMod val="15000"/>
        <a:lumOff val="85000"/>
      </a:schemeClr>
    </cs:fontRef>
    <cs:spPr>
      <a:solidFill>
        <a:schemeClr val="dk1">
          <a:lumMod val="65000"/>
          <a:lumOff val="3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/>
    <cs:effectRef idx="0">
      <cs:styleClr val="auto"/>
    </cs:effectRef>
    <cs:fontRef idx="minor">
      <a:schemeClr val="dk1"/>
    </cs:fontRef>
    <cs:spPr>
      <a:ln w="9525" cap="flat" cmpd="sng" algn="ctr">
        <a:solidFill>
          <a:schemeClr val="phClr"/>
        </a:solidFill>
        <a:miter lim="800000"/>
      </a:ln>
      <a:effectLst>
        <a:glow rad="63500">
          <a:schemeClr val="phClr">
            <a:satMod val="175000"/>
            <a:alpha val="25000"/>
          </a:schemeClr>
        </a:glow>
      </a:effectLst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ln w="9525" cap="flat" cmpd="sng" algn="ctr">
        <a:solidFill>
          <a:schemeClr val="phClr"/>
        </a:solidFill>
        <a:miter lim="800000"/>
      </a:ln>
      <a:effectLst>
        <a:glow rad="63500">
          <a:schemeClr val="phClr">
            <a:satMod val="175000"/>
            <a:alpha val="25000"/>
          </a:schemeClr>
        </a:glow>
      </a:effectLst>
    </cs:spPr>
  </cs:dataPoint3D>
  <cs:dataPointLine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ln w="22225" cap="rnd">
        <a:solidFill>
          <a:schemeClr val="phClr"/>
        </a:solidFill>
      </a:ln>
      <a:effectLst>
        <a:glow rad="139700">
          <a:schemeClr val="phClr">
            <a:satMod val="175000"/>
            <a:alpha val="14000"/>
          </a:schemeClr>
        </a:glow>
      </a:effectLst>
    </cs:spPr>
  </cs:dataPointLine>
  <cs:dataPointMarker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lumMod val="60000"/>
          <a:lumOff val="40000"/>
        </a:schemeClr>
      </a:solidFill>
      <a:effectLst>
        <a:glow rad="63500">
          <a:schemeClr val="phClr">
            <a:satMod val="175000"/>
            <a:alpha val="25000"/>
          </a:schemeClr>
        </a:glow>
      </a:effectLst>
    </cs:spPr>
  </cs:dataPointMarker>
  <cs:dataPointMarkerLayout symbol="circle" size="4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75000"/>
      </a:schemeClr>
    </cs:fontRef>
    <cs:spPr>
      <a:ln w="9525">
        <a:solidFill>
          <a:schemeClr val="dk1">
            <a:lumMod val="50000"/>
            <a:lumOff val="50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7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dk1">
                <a:lumMod val="65000"/>
                <a:lumOff val="35000"/>
              </a:schemeClr>
            </a:gs>
            <a:gs pos="100000">
              <a:schemeClr val="dk1">
                <a:lumMod val="75000"/>
                <a:lumOff val="25000"/>
              </a:schemeClr>
            </a:gs>
          </a:gsLst>
          <a:lin ang="10800000" scaled="0"/>
        </a:gradFill>
        <a:round/>
      </a:ln>
      <a:effectLst/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75000"/>
                <a:lumOff val="25000"/>
                <a:alpha val="25000"/>
              </a:schemeClr>
            </a:gs>
            <a:gs pos="0">
              <a:schemeClr val="dk1">
                <a:lumMod val="65000"/>
                <a:lumOff val="35000"/>
                <a:alpha val="2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leaderLine>
  <cs:legend>
    <cs:lnRef idx="0"/>
    <cs:fillRef idx="0"/>
    <cs:effectRef idx="0"/>
    <cs:fontRef idx="minor">
      <a:schemeClr val="lt1">
        <a:lumMod val="7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lt1">
        <a:lumMod val="7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85000"/>
      </a:schemeClr>
    </cs:fontRef>
    <cs:defRPr sz="1400" b="1" kern="1200" cap="none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25400" cap="rnd">
        <a:solidFill>
          <a:schemeClr val="phClr">
            <a:alpha val="50000"/>
          </a:schemeClr>
        </a:solidFill>
      </a:ln>
    </cs:spPr>
  </cs:trendline>
  <cs:trendlineLabel>
    <cs:lnRef idx="0"/>
    <cs:fillRef idx="0"/>
    <cs:effectRef idx="0"/>
    <cs:fontRef idx="minor">
      <a:schemeClr val="lt1">
        <a:lumMod val="7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85000"/>
        </a:schemeClr>
      </a:solidFill>
      <a:ln w="9525">
        <a:solidFill>
          <a:schemeClr val="dk1">
            <a:lumMod val="50000"/>
          </a:schemeClr>
        </a:solidFill>
        <a:round/>
      </a:ln>
    </cs:spPr>
  </cs:upBar>
  <cs:valueAxis>
    <cs:lnRef idx="0"/>
    <cs:fillRef idx="0"/>
    <cs:effectRef idx="0"/>
    <cs:fontRef idx="minor">
      <a:schemeClr val="lt1">
        <a:lumMod val="7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13">
  <cs:axisTitle>
    <cs:lnRef idx="0"/>
    <cs:fillRef idx="0"/>
    <cs:effectRef idx="0"/>
    <cs:fontRef idx="minor">
      <a:schemeClr val="lt1">
        <a:lumMod val="75000"/>
      </a:schemeClr>
    </cs:fontRef>
    <cs:defRPr sz="900" b="1" kern="1200"/>
  </cs:axisTitle>
  <cs:categoryAxis>
    <cs:lnRef idx="0"/>
    <cs:fillRef idx="0"/>
    <cs:effectRef idx="0"/>
    <cs:fontRef idx="minor">
      <a:schemeClr val="lt1">
        <a:lumMod val="7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>
        <a:lumMod val="75000"/>
      </a:schemeClr>
    </cs:fontRef>
    <cs:defRPr sz="900" kern="1200"/>
  </cs:dataLabel>
  <cs:dataLabelCallout>
    <cs:lnRef idx="0"/>
    <cs:fillRef idx="0"/>
    <cs:effectRef idx="0"/>
    <cs:fontRef idx="minor">
      <a:schemeClr val="lt1">
        <a:lumMod val="15000"/>
        <a:lumOff val="85000"/>
      </a:schemeClr>
    </cs:fontRef>
    <cs:spPr>
      <a:solidFill>
        <a:schemeClr val="dk1">
          <a:lumMod val="65000"/>
          <a:lumOff val="3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/>
    <cs:effectRef idx="0">
      <cs:styleClr val="auto"/>
    </cs:effectRef>
    <cs:fontRef idx="minor">
      <a:schemeClr val="dk1"/>
    </cs:fontRef>
    <cs:spPr>
      <a:ln w="9525" cap="flat" cmpd="sng" algn="ctr">
        <a:solidFill>
          <a:schemeClr val="phClr"/>
        </a:solidFill>
        <a:miter lim="800000"/>
      </a:ln>
      <a:effectLst>
        <a:glow rad="63500">
          <a:schemeClr val="phClr">
            <a:satMod val="175000"/>
            <a:alpha val="25000"/>
          </a:schemeClr>
        </a:glow>
      </a:effectLst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ln w="9525" cap="flat" cmpd="sng" algn="ctr">
        <a:solidFill>
          <a:schemeClr val="phClr"/>
        </a:solidFill>
        <a:miter lim="800000"/>
      </a:ln>
      <a:effectLst>
        <a:glow rad="63500">
          <a:schemeClr val="phClr">
            <a:satMod val="175000"/>
            <a:alpha val="25000"/>
          </a:schemeClr>
        </a:glow>
      </a:effectLst>
    </cs:spPr>
  </cs:dataPoint3D>
  <cs:dataPointLine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ln w="22225" cap="rnd">
        <a:solidFill>
          <a:schemeClr val="phClr"/>
        </a:solidFill>
      </a:ln>
      <a:effectLst>
        <a:glow rad="139700">
          <a:schemeClr val="phClr">
            <a:satMod val="175000"/>
            <a:alpha val="14000"/>
          </a:schemeClr>
        </a:glow>
      </a:effectLst>
    </cs:spPr>
  </cs:dataPointLine>
  <cs:dataPointMarker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lumMod val="60000"/>
          <a:lumOff val="40000"/>
        </a:schemeClr>
      </a:solidFill>
      <a:effectLst>
        <a:glow rad="63500">
          <a:schemeClr val="phClr">
            <a:satMod val="175000"/>
            <a:alpha val="25000"/>
          </a:schemeClr>
        </a:glow>
      </a:effectLst>
    </cs:spPr>
  </cs:dataPointMarker>
  <cs:dataPointMarkerLayout symbol="circle" size="4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75000"/>
      </a:schemeClr>
    </cs:fontRef>
    <cs:spPr>
      <a:ln w="9525">
        <a:solidFill>
          <a:schemeClr val="dk1">
            <a:lumMod val="50000"/>
            <a:lumOff val="50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7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75000"/>
                <a:lumOff val="25000"/>
              </a:schemeClr>
            </a:gs>
            <a:gs pos="0">
              <a:schemeClr val="dk1">
                <a:lumMod val="65000"/>
                <a:lumOff val="3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75000"/>
                <a:lumOff val="25000"/>
                <a:alpha val="25000"/>
              </a:schemeClr>
            </a:gs>
            <a:gs pos="0">
              <a:schemeClr val="dk1">
                <a:lumMod val="65000"/>
                <a:lumOff val="35000"/>
                <a:alpha val="2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leaderLine>
  <cs:legend>
    <cs:lnRef idx="0"/>
    <cs:fillRef idx="0"/>
    <cs:effectRef idx="0"/>
    <cs:fontRef idx="minor">
      <a:schemeClr val="lt1">
        <a:lumMod val="7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lt1">
        <a:lumMod val="7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85000"/>
      </a:schemeClr>
    </cs:fontRef>
    <cs:defRPr sz="1400" b="1" kern="1200" cap="none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25400" cap="rnd">
        <a:solidFill>
          <a:schemeClr val="phClr">
            <a:alpha val="50000"/>
          </a:schemeClr>
        </a:solidFill>
      </a:ln>
    </cs:spPr>
  </cs:trendline>
  <cs:trendlineLabel>
    <cs:lnRef idx="0"/>
    <cs:fillRef idx="0"/>
    <cs:effectRef idx="0"/>
    <cs:fontRef idx="minor">
      <a:schemeClr val="lt1">
        <a:lumMod val="7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85000"/>
        </a:schemeClr>
      </a:solidFill>
      <a:ln w="9525">
        <a:solidFill>
          <a:schemeClr val="dk1">
            <a:lumMod val="50000"/>
          </a:schemeClr>
        </a:solidFill>
        <a:round/>
      </a:ln>
    </cs:spPr>
  </cs:upBar>
  <cs:valueAxis>
    <cs:lnRef idx="0"/>
    <cs:fillRef idx="0"/>
    <cs:effectRef idx="0"/>
    <cs:fontRef idx="minor">
      <a:schemeClr val="lt1">
        <a:lumMod val="7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13">
  <cs:axisTitle>
    <cs:lnRef idx="0"/>
    <cs:fillRef idx="0"/>
    <cs:effectRef idx="0"/>
    <cs:fontRef idx="minor">
      <a:schemeClr val="lt1">
        <a:lumMod val="75000"/>
      </a:schemeClr>
    </cs:fontRef>
    <cs:defRPr sz="900" b="1" kern="1200"/>
  </cs:axisTitle>
  <cs:categoryAxis>
    <cs:lnRef idx="0"/>
    <cs:fillRef idx="0"/>
    <cs:effectRef idx="0"/>
    <cs:fontRef idx="minor">
      <a:schemeClr val="lt1">
        <a:lumMod val="7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>
        <a:lumMod val="75000"/>
      </a:schemeClr>
    </cs:fontRef>
    <cs:defRPr sz="900" kern="1200"/>
  </cs:dataLabel>
  <cs:dataLabelCallout>
    <cs:lnRef idx="0"/>
    <cs:fillRef idx="0"/>
    <cs:effectRef idx="0"/>
    <cs:fontRef idx="minor">
      <a:schemeClr val="lt1">
        <a:lumMod val="15000"/>
        <a:lumOff val="85000"/>
      </a:schemeClr>
    </cs:fontRef>
    <cs:spPr>
      <a:solidFill>
        <a:schemeClr val="dk1">
          <a:lumMod val="65000"/>
          <a:lumOff val="3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/>
    <cs:effectRef idx="0">
      <cs:styleClr val="auto"/>
    </cs:effectRef>
    <cs:fontRef idx="minor">
      <a:schemeClr val="dk1"/>
    </cs:fontRef>
    <cs:spPr>
      <a:ln w="9525" cap="flat" cmpd="sng" algn="ctr">
        <a:solidFill>
          <a:schemeClr val="phClr"/>
        </a:solidFill>
        <a:miter lim="800000"/>
      </a:ln>
      <a:effectLst>
        <a:glow rad="63500">
          <a:schemeClr val="phClr">
            <a:satMod val="175000"/>
            <a:alpha val="25000"/>
          </a:schemeClr>
        </a:glow>
      </a:effectLst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ln w="9525" cap="flat" cmpd="sng" algn="ctr">
        <a:solidFill>
          <a:schemeClr val="phClr"/>
        </a:solidFill>
        <a:miter lim="800000"/>
      </a:ln>
      <a:effectLst>
        <a:glow rad="63500">
          <a:schemeClr val="phClr">
            <a:satMod val="175000"/>
            <a:alpha val="25000"/>
          </a:schemeClr>
        </a:glow>
      </a:effectLst>
    </cs:spPr>
  </cs:dataPoint3D>
  <cs:dataPointLine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ln w="22225" cap="rnd">
        <a:solidFill>
          <a:schemeClr val="phClr"/>
        </a:solidFill>
      </a:ln>
      <a:effectLst>
        <a:glow rad="139700">
          <a:schemeClr val="phClr">
            <a:satMod val="175000"/>
            <a:alpha val="14000"/>
          </a:schemeClr>
        </a:glow>
      </a:effectLst>
    </cs:spPr>
  </cs:dataPointLine>
  <cs:dataPointMarker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lumMod val="60000"/>
          <a:lumOff val="40000"/>
        </a:schemeClr>
      </a:solidFill>
      <a:effectLst>
        <a:glow rad="63500">
          <a:schemeClr val="phClr">
            <a:satMod val="175000"/>
            <a:alpha val="25000"/>
          </a:schemeClr>
        </a:glow>
      </a:effectLst>
    </cs:spPr>
  </cs:dataPointMarker>
  <cs:dataPointMarkerLayout symbol="circle" size="4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75000"/>
      </a:schemeClr>
    </cs:fontRef>
    <cs:spPr>
      <a:ln w="9525">
        <a:solidFill>
          <a:schemeClr val="dk1">
            <a:lumMod val="50000"/>
            <a:lumOff val="50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7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75000"/>
                <a:lumOff val="25000"/>
              </a:schemeClr>
            </a:gs>
            <a:gs pos="0">
              <a:schemeClr val="dk1">
                <a:lumMod val="65000"/>
                <a:lumOff val="3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75000"/>
                <a:lumOff val="25000"/>
                <a:alpha val="25000"/>
              </a:schemeClr>
            </a:gs>
            <a:gs pos="0">
              <a:schemeClr val="dk1">
                <a:lumMod val="65000"/>
                <a:lumOff val="35000"/>
                <a:alpha val="2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leaderLine>
  <cs:legend>
    <cs:lnRef idx="0"/>
    <cs:fillRef idx="0"/>
    <cs:effectRef idx="0"/>
    <cs:fontRef idx="minor">
      <a:schemeClr val="lt1">
        <a:lumMod val="7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lt1">
        <a:lumMod val="7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85000"/>
      </a:schemeClr>
    </cs:fontRef>
    <cs:defRPr sz="1400" b="1" kern="1200" cap="none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25400" cap="rnd">
        <a:solidFill>
          <a:schemeClr val="phClr">
            <a:alpha val="50000"/>
          </a:schemeClr>
        </a:solidFill>
      </a:ln>
    </cs:spPr>
  </cs:trendline>
  <cs:trendlineLabel>
    <cs:lnRef idx="0"/>
    <cs:fillRef idx="0"/>
    <cs:effectRef idx="0"/>
    <cs:fontRef idx="minor">
      <a:schemeClr val="lt1">
        <a:lumMod val="7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85000"/>
        </a:schemeClr>
      </a:solidFill>
      <a:ln w="9525">
        <a:solidFill>
          <a:schemeClr val="dk1">
            <a:lumMod val="50000"/>
          </a:schemeClr>
        </a:solidFill>
        <a:round/>
      </a:ln>
    </cs:spPr>
  </cs:upBar>
  <cs:valueAxis>
    <cs:lnRef idx="0"/>
    <cs:fillRef idx="0"/>
    <cs:effectRef idx="0"/>
    <cs:fontRef idx="minor">
      <a:schemeClr val="lt1">
        <a:lumMod val="7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13">
  <cs:axisTitle>
    <cs:lnRef idx="0"/>
    <cs:fillRef idx="0"/>
    <cs:effectRef idx="0"/>
    <cs:fontRef idx="minor">
      <a:schemeClr val="lt1">
        <a:lumMod val="75000"/>
      </a:schemeClr>
    </cs:fontRef>
    <cs:defRPr sz="900" b="1" kern="1200"/>
  </cs:axisTitle>
  <cs:categoryAxis>
    <cs:lnRef idx="0"/>
    <cs:fillRef idx="0"/>
    <cs:effectRef idx="0"/>
    <cs:fontRef idx="minor">
      <a:schemeClr val="lt1">
        <a:lumMod val="7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>
        <a:lumMod val="75000"/>
      </a:schemeClr>
    </cs:fontRef>
    <cs:defRPr sz="900" kern="1200"/>
  </cs:dataLabel>
  <cs:dataLabelCallout>
    <cs:lnRef idx="0"/>
    <cs:fillRef idx="0"/>
    <cs:effectRef idx="0"/>
    <cs:fontRef idx="minor">
      <a:schemeClr val="lt1">
        <a:lumMod val="15000"/>
        <a:lumOff val="85000"/>
      </a:schemeClr>
    </cs:fontRef>
    <cs:spPr>
      <a:solidFill>
        <a:schemeClr val="dk1">
          <a:lumMod val="65000"/>
          <a:lumOff val="3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/>
    <cs:effectRef idx="0">
      <cs:styleClr val="auto"/>
    </cs:effectRef>
    <cs:fontRef idx="minor">
      <a:schemeClr val="dk1"/>
    </cs:fontRef>
    <cs:spPr>
      <a:ln w="9525" cap="flat" cmpd="sng" algn="ctr">
        <a:solidFill>
          <a:schemeClr val="phClr"/>
        </a:solidFill>
        <a:miter lim="800000"/>
      </a:ln>
      <a:effectLst>
        <a:glow rad="63500">
          <a:schemeClr val="phClr">
            <a:satMod val="175000"/>
            <a:alpha val="25000"/>
          </a:schemeClr>
        </a:glow>
      </a:effectLst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ln w="9525" cap="flat" cmpd="sng" algn="ctr">
        <a:solidFill>
          <a:schemeClr val="phClr"/>
        </a:solidFill>
        <a:miter lim="800000"/>
      </a:ln>
      <a:effectLst>
        <a:glow rad="63500">
          <a:schemeClr val="phClr">
            <a:satMod val="175000"/>
            <a:alpha val="25000"/>
          </a:schemeClr>
        </a:glow>
      </a:effectLst>
    </cs:spPr>
  </cs:dataPoint3D>
  <cs:dataPointLine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ln w="22225" cap="rnd">
        <a:solidFill>
          <a:schemeClr val="phClr"/>
        </a:solidFill>
      </a:ln>
      <a:effectLst>
        <a:glow rad="139700">
          <a:schemeClr val="phClr">
            <a:satMod val="175000"/>
            <a:alpha val="14000"/>
          </a:schemeClr>
        </a:glow>
      </a:effectLst>
    </cs:spPr>
  </cs:dataPointLine>
  <cs:dataPointMarker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lumMod val="60000"/>
          <a:lumOff val="40000"/>
        </a:schemeClr>
      </a:solidFill>
      <a:effectLst>
        <a:glow rad="63500">
          <a:schemeClr val="phClr">
            <a:satMod val="175000"/>
            <a:alpha val="25000"/>
          </a:schemeClr>
        </a:glow>
      </a:effectLst>
    </cs:spPr>
  </cs:dataPointMarker>
  <cs:dataPointMarkerLayout symbol="circle" size="4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75000"/>
      </a:schemeClr>
    </cs:fontRef>
    <cs:spPr>
      <a:ln w="9525">
        <a:solidFill>
          <a:schemeClr val="dk1">
            <a:lumMod val="50000"/>
            <a:lumOff val="50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7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75000"/>
                <a:lumOff val="25000"/>
              </a:schemeClr>
            </a:gs>
            <a:gs pos="0">
              <a:schemeClr val="dk1">
                <a:lumMod val="65000"/>
                <a:lumOff val="3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75000"/>
                <a:lumOff val="25000"/>
                <a:alpha val="25000"/>
              </a:schemeClr>
            </a:gs>
            <a:gs pos="0">
              <a:schemeClr val="dk1">
                <a:lumMod val="65000"/>
                <a:lumOff val="35000"/>
                <a:alpha val="2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leaderLine>
  <cs:legend>
    <cs:lnRef idx="0"/>
    <cs:fillRef idx="0"/>
    <cs:effectRef idx="0"/>
    <cs:fontRef idx="minor">
      <a:schemeClr val="lt1">
        <a:lumMod val="7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lt1">
        <a:lumMod val="7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85000"/>
      </a:schemeClr>
    </cs:fontRef>
    <cs:defRPr sz="1400" b="1" kern="1200" cap="none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25400" cap="rnd">
        <a:solidFill>
          <a:schemeClr val="phClr">
            <a:alpha val="50000"/>
          </a:schemeClr>
        </a:solidFill>
      </a:ln>
    </cs:spPr>
  </cs:trendline>
  <cs:trendlineLabel>
    <cs:lnRef idx="0"/>
    <cs:fillRef idx="0"/>
    <cs:effectRef idx="0"/>
    <cs:fontRef idx="minor">
      <a:schemeClr val="lt1">
        <a:lumMod val="7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85000"/>
        </a:schemeClr>
      </a:solidFill>
      <a:ln w="9525">
        <a:solidFill>
          <a:schemeClr val="dk1">
            <a:lumMod val="50000"/>
          </a:schemeClr>
        </a:solidFill>
        <a:round/>
      </a:ln>
    </cs:spPr>
  </cs:upBar>
  <cs:valueAxis>
    <cs:lnRef idx="0"/>
    <cs:fillRef idx="0"/>
    <cs:effectRef idx="0"/>
    <cs:fontRef idx="minor">
      <a:schemeClr val="lt1">
        <a:lumMod val="7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22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ize="5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339">
  <cs:axisTitle>
    <cs:lnRef idx="0"/>
    <cs:fillRef idx="0"/>
    <cs:effectRef idx="0"/>
    <cs:fontRef idx="minor">
      <a:schemeClr val="lt1">
        <a:lumMod val="75000"/>
      </a:schemeClr>
    </cs:fontRef>
    <cs:defRPr sz="900" b="1" kern="1200"/>
  </cs:axisTitle>
  <cs:categoryAxis>
    <cs:lnRef idx="0"/>
    <cs:fillRef idx="0"/>
    <cs:effectRef idx="0"/>
    <cs:fontRef idx="minor">
      <a:schemeClr val="lt1">
        <a:lumMod val="7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>
        <a:lumMod val="75000"/>
      </a:schemeClr>
    </cs:fontRef>
    <cs:defRPr sz="900" kern="1200"/>
  </cs:dataLabel>
  <cs:dataLabelCallout>
    <cs:lnRef idx="0"/>
    <cs:fillRef idx="0"/>
    <cs:effectRef idx="0"/>
    <cs:fontRef idx="minor">
      <a:schemeClr val="lt1">
        <a:lumMod val="15000"/>
        <a:lumOff val="85000"/>
      </a:schemeClr>
    </cs:fontRef>
    <cs:spPr>
      <a:solidFill>
        <a:schemeClr val="dk1">
          <a:lumMod val="65000"/>
          <a:lumOff val="3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/>
    <cs:effectRef idx="0">
      <cs:styleClr val="auto"/>
    </cs:effectRef>
    <cs:fontRef idx="minor">
      <a:schemeClr val="dk1"/>
    </cs:fontRef>
    <cs:spPr>
      <a:ln w="9525" cap="flat" cmpd="sng" algn="ctr">
        <a:solidFill>
          <a:schemeClr val="phClr"/>
        </a:solidFill>
        <a:miter lim="800000"/>
      </a:ln>
      <a:effectLst>
        <a:glow rad="63500">
          <a:schemeClr val="phClr">
            <a:satMod val="175000"/>
            <a:alpha val="25000"/>
          </a:schemeClr>
        </a:glow>
      </a:effectLst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ln w="9525" cap="flat" cmpd="sng" algn="ctr">
        <a:solidFill>
          <a:schemeClr val="phClr"/>
        </a:solidFill>
        <a:miter lim="800000"/>
      </a:ln>
      <a:effectLst>
        <a:glow rad="63500">
          <a:schemeClr val="phClr">
            <a:satMod val="175000"/>
            <a:alpha val="25000"/>
          </a:schemeClr>
        </a:glow>
      </a:effectLst>
    </cs:spPr>
  </cs:dataPoint3D>
  <cs:dataPointLine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ln w="22225" cap="rnd">
        <a:solidFill>
          <a:schemeClr val="phClr"/>
        </a:solidFill>
      </a:ln>
      <a:effectLst>
        <a:glow rad="139700">
          <a:schemeClr val="phClr">
            <a:satMod val="175000"/>
            <a:alpha val="14000"/>
          </a:schemeClr>
        </a:glow>
      </a:effectLst>
    </cs:spPr>
  </cs:dataPointLine>
  <cs:dataPointMarker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lumMod val="60000"/>
          <a:lumOff val="40000"/>
        </a:schemeClr>
      </a:solidFill>
      <a:effectLst>
        <a:glow rad="63500">
          <a:schemeClr val="phClr">
            <a:satMod val="175000"/>
            <a:alpha val="25000"/>
          </a:schemeClr>
        </a:glow>
      </a:effectLst>
    </cs:spPr>
  </cs:dataPointMarker>
  <cs:dataPointMarkerLayout symbol="circle" size="4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75000"/>
      </a:schemeClr>
    </cs:fontRef>
    <cs:spPr>
      <a:ln w="9525">
        <a:solidFill>
          <a:schemeClr val="dk1">
            <a:lumMod val="50000"/>
            <a:lumOff val="50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7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dk1">
                <a:lumMod val="65000"/>
                <a:lumOff val="35000"/>
              </a:schemeClr>
            </a:gs>
            <a:gs pos="100000">
              <a:schemeClr val="dk1">
                <a:lumMod val="75000"/>
                <a:lumOff val="25000"/>
              </a:schemeClr>
            </a:gs>
          </a:gsLst>
          <a:lin ang="10800000" scaled="0"/>
        </a:gradFill>
        <a:round/>
      </a:ln>
      <a:effectLst/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75000"/>
                <a:lumOff val="25000"/>
                <a:alpha val="25000"/>
              </a:schemeClr>
            </a:gs>
            <a:gs pos="0">
              <a:schemeClr val="dk1">
                <a:lumMod val="65000"/>
                <a:lumOff val="35000"/>
                <a:alpha val="2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leaderLine>
  <cs:legend>
    <cs:lnRef idx="0"/>
    <cs:fillRef idx="0"/>
    <cs:effectRef idx="0"/>
    <cs:fontRef idx="minor">
      <a:schemeClr val="lt1">
        <a:lumMod val="7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lt1">
        <a:lumMod val="7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85000"/>
      </a:schemeClr>
    </cs:fontRef>
    <cs:defRPr sz="1400" b="1" kern="1200" cap="none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25400" cap="rnd">
        <a:solidFill>
          <a:schemeClr val="phClr">
            <a:alpha val="50000"/>
          </a:schemeClr>
        </a:solidFill>
      </a:ln>
    </cs:spPr>
  </cs:trendline>
  <cs:trendlineLabel>
    <cs:lnRef idx="0"/>
    <cs:fillRef idx="0"/>
    <cs:effectRef idx="0"/>
    <cs:fontRef idx="minor">
      <a:schemeClr val="lt1">
        <a:lumMod val="7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85000"/>
        </a:schemeClr>
      </a:solidFill>
      <a:ln w="9525">
        <a:solidFill>
          <a:schemeClr val="dk1">
            <a:lumMod val="50000"/>
          </a:schemeClr>
        </a:solidFill>
        <a:round/>
      </a:ln>
    </cs:spPr>
  </cs:upBar>
  <cs:valueAxis>
    <cs:lnRef idx="0"/>
    <cs:fillRef idx="0"/>
    <cs:effectRef idx="0"/>
    <cs:fontRef idx="minor">
      <a:schemeClr val="lt1">
        <a:lumMod val="7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339">
  <cs:axisTitle>
    <cs:lnRef idx="0"/>
    <cs:fillRef idx="0"/>
    <cs:effectRef idx="0"/>
    <cs:fontRef idx="minor">
      <a:schemeClr val="lt1">
        <a:lumMod val="75000"/>
      </a:schemeClr>
    </cs:fontRef>
    <cs:defRPr sz="900" b="1" kern="1200"/>
  </cs:axisTitle>
  <cs:categoryAxis>
    <cs:lnRef idx="0"/>
    <cs:fillRef idx="0"/>
    <cs:effectRef idx="0"/>
    <cs:fontRef idx="minor">
      <a:schemeClr val="lt1">
        <a:lumMod val="7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>
        <a:lumMod val="75000"/>
      </a:schemeClr>
    </cs:fontRef>
    <cs:defRPr sz="900" kern="1200"/>
  </cs:dataLabel>
  <cs:dataLabelCallout>
    <cs:lnRef idx="0"/>
    <cs:fillRef idx="0"/>
    <cs:effectRef idx="0"/>
    <cs:fontRef idx="minor">
      <a:schemeClr val="lt1">
        <a:lumMod val="15000"/>
        <a:lumOff val="85000"/>
      </a:schemeClr>
    </cs:fontRef>
    <cs:spPr>
      <a:solidFill>
        <a:schemeClr val="dk1">
          <a:lumMod val="65000"/>
          <a:lumOff val="3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/>
    <cs:effectRef idx="0">
      <cs:styleClr val="auto"/>
    </cs:effectRef>
    <cs:fontRef idx="minor">
      <a:schemeClr val="dk1"/>
    </cs:fontRef>
    <cs:spPr>
      <a:ln w="9525" cap="flat" cmpd="sng" algn="ctr">
        <a:solidFill>
          <a:schemeClr val="phClr"/>
        </a:solidFill>
        <a:miter lim="800000"/>
      </a:ln>
      <a:effectLst>
        <a:glow rad="63500">
          <a:schemeClr val="phClr">
            <a:satMod val="175000"/>
            <a:alpha val="25000"/>
          </a:schemeClr>
        </a:glow>
      </a:effectLst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ln w="9525" cap="flat" cmpd="sng" algn="ctr">
        <a:solidFill>
          <a:schemeClr val="phClr"/>
        </a:solidFill>
        <a:miter lim="800000"/>
      </a:ln>
      <a:effectLst>
        <a:glow rad="63500">
          <a:schemeClr val="phClr">
            <a:satMod val="175000"/>
            <a:alpha val="25000"/>
          </a:schemeClr>
        </a:glow>
      </a:effectLst>
    </cs:spPr>
  </cs:dataPoint3D>
  <cs:dataPointLine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ln w="22225" cap="rnd">
        <a:solidFill>
          <a:schemeClr val="phClr"/>
        </a:solidFill>
      </a:ln>
      <a:effectLst>
        <a:glow rad="139700">
          <a:schemeClr val="phClr">
            <a:satMod val="175000"/>
            <a:alpha val="14000"/>
          </a:schemeClr>
        </a:glow>
      </a:effectLst>
    </cs:spPr>
  </cs:dataPointLine>
  <cs:dataPointMarker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lumMod val="60000"/>
          <a:lumOff val="40000"/>
        </a:schemeClr>
      </a:solidFill>
      <a:effectLst>
        <a:glow rad="63500">
          <a:schemeClr val="phClr">
            <a:satMod val="175000"/>
            <a:alpha val="25000"/>
          </a:schemeClr>
        </a:glow>
      </a:effectLst>
    </cs:spPr>
  </cs:dataPointMarker>
  <cs:dataPointMarkerLayout symbol="circle" size="4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75000"/>
      </a:schemeClr>
    </cs:fontRef>
    <cs:spPr>
      <a:ln w="9525">
        <a:solidFill>
          <a:schemeClr val="dk1">
            <a:lumMod val="50000"/>
            <a:lumOff val="50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7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dk1">
                <a:lumMod val="65000"/>
                <a:lumOff val="35000"/>
              </a:schemeClr>
            </a:gs>
            <a:gs pos="100000">
              <a:schemeClr val="dk1">
                <a:lumMod val="75000"/>
                <a:lumOff val="25000"/>
              </a:schemeClr>
            </a:gs>
          </a:gsLst>
          <a:lin ang="10800000" scaled="0"/>
        </a:gradFill>
        <a:round/>
      </a:ln>
      <a:effectLst/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75000"/>
                <a:lumOff val="25000"/>
                <a:alpha val="25000"/>
              </a:schemeClr>
            </a:gs>
            <a:gs pos="0">
              <a:schemeClr val="dk1">
                <a:lumMod val="65000"/>
                <a:lumOff val="35000"/>
                <a:alpha val="2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leaderLine>
  <cs:legend>
    <cs:lnRef idx="0"/>
    <cs:fillRef idx="0"/>
    <cs:effectRef idx="0"/>
    <cs:fontRef idx="minor">
      <a:schemeClr val="lt1">
        <a:lumMod val="7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lt1">
        <a:lumMod val="7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85000"/>
      </a:schemeClr>
    </cs:fontRef>
    <cs:defRPr sz="1400" b="1" kern="1200" cap="none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25400" cap="rnd">
        <a:solidFill>
          <a:schemeClr val="phClr">
            <a:alpha val="50000"/>
          </a:schemeClr>
        </a:solidFill>
      </a:ln>
    </cs:spPr>
  </cs:trendline>
  <cs:trendlineLabel>
    <cs:lnRef idx="0"/>
    <cs:fillRef idx="0"/>
    <cs:effectRef idx="0"/>
    <cs:fontRef idx="minor">
      <a:schemeClr val="lt1">
        <a:lumMod val="7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85000"/>
        </a:schemeClr>
      </a:solidFill>
      <a:ln w="9525">
        <a:solidFill>
          <a:schemeClr val="dk1">
            <a:lumMod val="50000"/>
          </a:schemeClr>
        </a:solidFill>
        <a:round/>
      </a:ln>
    </cs:spPr>
  </cs:upBar>
  <cs:valueAxis>
    <cs:lnRef idx="0"/>
    <cs:fillRef idx="0"/>
    <cs:effectRef idx="0"/>
    <cs:fontRef idx="minor">
      <a:schemeClr val="lt1">
        <a:lumMod val="7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12</Pages>
  <Words>1447</Words>
  <Characters>9987</Characters>
  <Application>Microsoft Office Word</Application>
  <DocSecurity>0</DocSecurity>
  <Lines>83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Szűcs Csaba</dc:creator>
  <cp:keywords/>
  <dc:description/>
  <cp:lastModifiedBy>Bohák János</cp:lastModifiedBy>
  <cp:revision>17</cp:revision>
  <dcterms:created xsi:type="dcterms:W3CDTF">2020-01-07T14:43:00Z</dcterms:created>
  <dcterms:modified xsi:type="dcterms:W3CDTF">2020-03-09T12:54:00Z</dcterms:modified>
</cp:coreProperties>
</file>