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numPr>
          <w:ilvl w:val="0"/>
          <w:numId w:val="1"/>
        </w:numPr>
        <w:ind w:left="720" w:hanging="360"/>
        <w:spacing/>
        <w:jc w:val="center"/>
        <w:tabs>
          <w:tab w:val="left" w:pos="720" w:leader="none"/>
        </w:tabs>
      </w:pPr>
      <w:r>
        <w:t>melléklet</w:t>
      </w:r>
    </w:p>
    <w:p>
      <w:pPr>
        <w:ind w:left="360"/>
        <w:spacing/>
        <w:jc w:val="center"/>
      </w:pPr>
      <w:r/>
    </w:p>
    <w:p>
      <w:pPr>
        <w:spacing/>
        <w:jc w:val="center"/>
        <w:rPr>
          <w:b/>
          <w:bCs/>
        </w:rPr>
      </w:pPr>
      <w:r>
        <w:rPr>
          <w:b/>
          <w:bCs/>
        </w:rPr>
        <w:t>Csorvás Város Önkormányzatának 2019. évben járó támogatások jogcímei és összegei</w:t>
      </w:r>
    </w:p>
    <w:p>
      <w:pPr>
        <w:spacing/>
        <w:jc w:val="center"/>
        <w:rPr>
          <w:b/>
          <w:bCs/>
        </w:rPr>
      </w:pPr>
      <w:r>
        <w:rPr>
          <w:b/>
          <w:bCs/>
        </w:rPr>
      </w:r>
    </w:p>
    <w:p>
      <w:pPr>
        <w:spacing/>
        <w:jc w:val="center"/>
        <w:rPr>
          <w:b/>
          <w:bCs/>
        </w:rPr>
      </w:pPr>
      <w:r>
        <w:rPr>
          <w:b/>
          <w:bCs/>
        </w:rPr>
      </w:r>
    </w:p>
    <w:p>
      <w:pPr>
        <w:spacing/>
        <w:jc w:val="center"/>
        <w:rPr>
          <w:b/>
          <w:bCs/>
        </w:rPr>
      </w:pPr>
      <w:r>
        <w:rPr>
          <w:b/>
          <w:bCs/>
        </w:rPr>
      </w:r>
    </w:p>
    <w:p>
      <w:pPr>
        <w:spacing w:after="120"/>
        <w:tabs>
          <w:tab w:val="right" w:pos="12780" w:leader="none"/>
        </w:tabs>
        <w:rPr>
          <w:bCs/>
        </w:rPr>
      </w:pPr>
      <w:r>
        <w:rPr>
          <w:bCs/>
        </w:rPr>
        <w:t xml:space="preserve">I.1.a Önkormányzati hivatal működésének támogatása – elismert hivatali létszám alapján           18,92 fő         </w:t>
        <w:tab/>
        <w:t xml:space="preserve">   86.653.600,- Ft</w:t>
      </w:r>
    </w:p>
    <w:p>
      <w:pPr>
        <w:spacing w:after="120"/>
        <w:tabs>
          <w:tab w:val="right" w:pos="12780" w:leader="none"/>
        </w:tabs>
        <w:rPr>
          <w:bCs/>
        </w:rPr>
      </w:pPr>
      <w:r>
        <w:rPr>
          <w:bCs/>
        </w:rPr>
        <w:t>I.1.b Település-üzemeltetéshez kapcsolódó feladatellátás támogatása</w:t>
        <w:tab/>
        <w:t>36.813.000,- Ft</w:t>
      </w:r>
    </w:p>
    <w:p>
      <w:pPr>
        <w:spacing w:after="120"/>
        <w:tabs>
          <w:tab w:val="right" w:pos="12780" w:leader="none"/>
        </w:tabs>
        <w:rPr>
          <w:bCs/>
        </w:rPr>
      </w:pPr>
      <w:r>
        <w:rPr>
          <w:bCs/>
        </w:rPr>
        <w:t>I.1.ba Zöldterület-gazdálkodással kapcsolatos feladatok ellátásának támogatása</w:t>
        <w:tab/>
        <w:t>9.905.660,- Ft</w:t>
      </w:r>
    </w:p>
    <w:p>
      <w:pPr>
        <w:spacing w:after="120"/>
        <w:tabs>
          <w:tab w:val="right" w:pos="12780" w:leader="none"/>
        </w:tabs>
        <w:rPr>
          <w:bCs/>
        </w:rPr>
      </w:pPr>
      <w:r>
        <w:rPr>
          <w:bCs/>
        </w:rPr>
        <w:t>I.1.bb Közvilágítás fenntartásának támogatása</w:t>
        <w:tab/>
        <w:t>17.632.000,- Ft</w:t>
      </w:r>
    </w:p>
    <w:p>
      <w:pPr>
        <w:spacing w:after="120"/>
        <w:tabs>
          <w:tab w:val="right" w:pos="12780" w:leader="none"/>
        </w:tabs>
        <w:rPr>
          <w:bCs/>
        </w:rPr>
      </w:pPr>
      <w:r>
        <w:rPr>
          <w:bCs/>
        </w:rPr>
        <w:t>I.1.bc Köztemető-fenntartással kapcsolatos feladatok ellátása</w:t>
        <w:tab/>
        <w:t>100.000,- Ft</w:t>
      </w:r>
    </w:p>
    <w:p>
      <w:pPr>
        <w:spacing w:after="120"/>
        <w:tabs>
          <w:tab w:val="right" w:pos="12780" w:leader="none"/>
        </w:tabs>
        <w:rPr>
          <w:bCs/>
        </w:rPr>
      </w:pPr>
      <w:r>
        <w:rPr>
          <w:bCs/>
        </w:rPr>
        <w:t>I.1.bd Közutak fenntartásának támogatása</w:t>
        <w:tab/>
        <w:t>9.175.340,- Ft</w:t>
      </w:r>
    </w:p>
    <w:p>
      <w:pPr>
        <w:spacing w:after="120"/>
        <w:tabs>
          <w:tab w:val="right" w:pos="12780" w:leader="none"/>
        </w:tabs>
        <w:rPr>
          <w:bCs/>
        </w:rPr>
      </w:pPr>
      <w:r>
        <w:rPr>
          <w:bCs/>
        </w:rPr>
        <w:t>I.1.c Egyéb önkormányzati feladatok támogatása</w:t>
        <w:tab/>
        <w:t>13.405.500,- Ft</w:t>
      </w:r>
    </w:p>
    <w:p>
      <w:pPr>
        <w:spacing w:after="120"/>
        <w:tabs>
          <w:tab w:val="right" w:pos="12780" w:leader="none"/>
        </w:tabs>
        <w:rPr>
          <w:bCs/>
        </w:rPr>
      </w:pPr>
      <w:r>
        <w:rPr>
          <w:bCs/>
        </w:rPr>
        <w:t>I.1.d Lakott külterülettel kapcsolatos feladatok támogatása</w:t>
        <w:tab/>
        <w:t>181.050,- Ft</w:t>
      </w:r>
    </w:p>
    <w:p>
      <w:pPr>
        <w:spacing w:after="120"/>
        <w:tabs>
          <w:tab w:val="right" w:pos="12780" w:leader="none"/>
        </w:tabs>
        <w:rPr>
          <w:bCs/>
        </w:rPr>
      </w:pPr>
      <w:r>
        <w:rPr>
          <w:bCs/>
        </w:rPr>
        <w:t>I.1. Kiegészítés: I.1. jogcímekhez kapcsolódó kiegészítés</w:t>
        <w:tab/>
        <w:t>28.260.643,- Ft</w:t>
      </w:r>
    </w:p>
    <w:p>
      <w:pPr>
        <w:spacing w:after="120"/>
        <w:tabs>
          <w:tab w:val="right" w:pos="12780" w:leader="none"/>
        </w:tabs>
        <w:rPr>
          <w:bCs/>
        </w:rPr>
      </w:pPr>
      <w:r>
        <w:rPr>
          <w:bCs/>
        </w:rPr>
        <w:t>I.6. Polgármesteri Illetmény támogatása</w:t>
        <w:tab/>
        <w:t>972.400,- Ft</w:t>
      </w:r>
    </w:p>
    <w:p>
      <w:pPr>
        <w:tabs>
          <w:tab w:val="right" w:pos="12780" w:leader="none"/>
        </w:tabs>
        <w:rPr>
          <w:b/>
          <w:bCs/>
        </w:rPr>
      </w:pPr>
      <w:r>
        <w:rPr>
          <w:b/>
          <w:bCs/>
        </w:rPr>
        <w:t>I. A helyi önkormányzatok működésének általános támogatása</w:t>
        <w:tab/>
        <w:t>166.286.193,- Ft</w:t>
      </w:r>
    </w:p>
    <w:p>
      <w:pPr>
        <w:rPr>
          <w:b/>
        </w:rPr>
      </w:pPr>
      <w:r>
        <w:rPr>
          <w:b/>
        </w:rPr>
      </w:r>
    </w:p>
    <w:p>
      <w:pPr>
        <w:rPr>
          <w:b/>
        </w:rPr>
      </w:pPr>
      <w:r>
        <w:rPr>
          <w:b/>
        </w:rPr>
      </w:r>
    </w:p>
    <w:p>
      <w:r>
        <w:t>II. 1. Óvodapedagógusok, és az óvodapedagógusok nevelő munkáját közvetlenül segítők bértámogatása</w:t>
      </w:r>
    </w:p>
    <w:p>
      <w:r/>
    </w:p>
    <w:p>
      <w:r>
        <w:t>2018. évben 8 hónapra – óvoda napi nyitvatartási ideje eléri a nyolc órát</w:t>
      </w:r>
    </w:p>
    <w:p>
      <w:pPr>
        <w:tabs>
          <w:tab w:val="decimal" w:pos="-1260" w:leader="none"/>
          <w:tab w:val="right" w:pos="12780" w:leader="none"/>
        </w:tabs>
      </w:pPr>
      <w:r>
        <w:t xml:space="preserve">II.1. (1) 1 Óvodapedagógusok elismert létszáma                                                                               12,7 fő          </w:t>
        <w:tab/>
        <w:t>37.012.033,- Ft</w:t>
      </w:r>
    </w:p>
    <w:p>
      <w:pPr>
        <w:tabs>
          <w:tab w:val="right" w:pos="12780" w:leader="none"/>
        </w:tabs>
      </w:pPr>
      <w:r>
        <w:t xml:space="preserve">II.1. (2) 1 Pedagógus szakképzettséggel nem rendelkezdő, óvodapedagógusok nevelő munkáját közvetlenül segítők száma a Köznev. tv. 2. melléklete szerint                                                                                                                                 9,0 fő           </w:t>
        <w:tab/>
        <w:t xml:space="preserve"> 13.230.000,- Ft</w:t>
      </w:r>
    </w:p>
    <w:p>
      <w:pPr>
        <w:ind w:left="-180"/>
      </w:pPr>
      <w:r/>
    </w:p>
    <w:p>
      <w:r>
        <w:t>2018. évben 4 hónapra – óvoda napi nyitvatartási ideje eléri a nyolc órát</w:t>
      </w:r>
    </w:p>
    <w:p>
      <w:r>
        <w:t xml:space="preserve">II.1. (1) 2 Óvodapedagógusok elismert létszáma                                                                               12,8 fő            </w:t>
        <w:tab/>
        <w:t>18.651.733,- Ft</w:t>
      </w:r>
    </w:p>
    <w:p>
      <w:pPr>
        <w:tabs>
          <w:tab w:val="decimal" w:pos="8820" w:leader="none"/>
          <w:tab w:val="right" w:pos="12780" w:leader="none"/>
        </w:tabs>
      </w:pPr>
      <w:r>
        <w:t xml:space="preserve">II.1. (2) 2 Pedagógus szakképzettséggel nem rendelkező, óvodapedagógusok nevelő munkáját közvetlenül segítők száma a Köznev. tv. 2. melléklete szerint                                                                                                                                  9,0 fő           </w:t>
        <w:tab/>
        <w:t xml:space="preserve">   6.615.000,- Ft</w:t>
      </w:r>
    </w:p>
    <w:p>
      <w:r/>
    </w:p>
    <w:p>
      <w:r>
        <w:t>Óvodaműködtetési támogatás</w:t>
      </w:r>
    </w:p>
    <w:p>
      <w:pPr>
        <w:tabs>
          <w:tab w:val="right" w:pos="12780" w:leader="none"/>
        </w:tabs>
      </w:pPr>
      <w:r>
        <w:t xml:space="preserve">II.2. (1) 1 Óvoda napi nyitvatartási ideje eléri a nyolc órát 8 hónapra                                              138,0 fő            </w:t>
        <w:tab/>
        <w:t xml:space="preserve"> 8.960.800,- Ft</w:t>
      </w:r>
    </w:p>
    <w:p>
      <w:pPr>
        <w:tabs>
          <w:tab w:val="left" w:pos="-1800" w:leader="none"/>
          <w:tab w:val="right" w:pos="12780" w:leader="none"/>
        </w:tabs>
      </w:pPr>
      <w:r>
        <w:t xml:space="preserve">II.2. (1) 2 Óvoda napi nyitvatartási ideje eléri a nyolc órát 4 hónapra                                              138,0 fő         </w:t>
        <w:tab/>
        <w:t xml:space="preserve">    4.480.400,- Ft</w:t>
      </w:r>
    </w:p>
    <w:p>
      <w:r/>
    </w:p>
    <w:p>
      <w:r>
        <w:t xml:space="preserve">Óvoda napi nyitvatartási ideje eléri a nyolc órát </w:t>
      </w:r>
    </w:p>
    <w:p>
      <w:pPr>
        <w:tabs>
          <w:tab w:val="left" w:pos="-1620" w:leader="none"/>
          <w:tab w:val="decimal" w:pos="8820" w:leader="none"/>
          <w:tab w:val="decimal" w:pos="11340" w:leader="none"/>
          <w:tab w:val="right" w:pos="12780" w:leader="none"/>
        </w:tabs>
      </w:pPr>
      <w:r>
        <w:t xml:space="preserve">II.4.a (1) Alapfokozatú végzettségű pedagógus II. kategóriába sorolt óvodapedagógusok kiegészítő támogatása, akik a minősítést 2018. január 1-éig történő átsorolással szerezték meg                                                                                                  3,0 fő           </w:t>
        <w:tab/>
        <w:t xml:space="preserve">           1.190.100,- Ft</w:t>
      </w:r>
    </w:p>
    <w:p>
      <w:r/>
    </w:p>
    <w:p>
      <w:pPr>
        <w:tabs>
          <w:tab w:val="left" w:pos="-1620" w:leader="none"/>
          <w:tab w:val="decimal" w:pos="11340" w:leader="none"/>
        </w:tabs>
        <w:rPr>
          <w:b/>
          <w:bCs/>
        </w:rPr>
      </w:pPr>
      <w:r>
        <w:rPr>
          <w:b/>
          <w:bCs/>
        </w:rPr>
        <w:t>II. A települési önkormányzatok köznevelési feladatainak támogatása                                                                      90.140.066,- Ft</w:t>
      </w:r>
    </w:p>
    <w:p>
      <w:pPr>
        <w:tabs>
          <w:tab w:val="left" w:pos="-1620" w:leader="none"/>
          <w:tab w:val="decimal" w:pos="11340" w:leader="none"/>
        </w:tabs>
        <w:rPr>
          <w:b/>
          <w:bCs/>
        </w:rPr>
      </w:pPr>
      <w:r>
        <w:rPr>
          <w:b/>
          <w:bCs/>
        </w:rPr>
      </w:r>
    </w:p>
    <w:p>
      <w:pPr>
        <w:tabs>
          <w:tab w:val="right" w:pos="12780" w:leader="none"/>
        </w:tabs>
        <w:rPr>
          <w:bCs/>
        </w:rPr>
      </w:pPr>
      <w:r>
        <w:rPr>
          <w:bCs/>
        </w:rPr>
        <w:t>III.2. Települési önkormányzatok szociális feladatainak egyéb támogatása</w:t>
        <w:tab/>
        <w:t>27.064.000,- Ft</w:t>
        <w:tab/>
        <w:tab/>
        <w:tab/>
      </w:r>
    </w:p>
    <w:p>
      <w:r>
        <w:t>III.3. Egyes szociális és gyermekjóléti feladatok támogatása</w:t>
      </w:r>
    </w:p>
    <w:p>
      <w:pPr>
        <w:tabs>
          <w:tab w:val="left" w:pos="-1620" w:leader="none"/>
          <w:tab w:val="decimal" w:pos="8820" w:leader="none"/>
          <w:tab w:val="decimal" w:pos="9720" w:leader="none"/>
          <w:tab w:val="right" w:pos="12780" w:leader="none"/>
        </w:tabs>
      </w:pPr>
      <w:r>
        <w:t xml:space="preserve">III.3.c (1) Szociális étkeztetés                                                                                                                18 fő         </w:t>
        <w:tab/>
        <w:t xml:space="preserve">        996.480,- Ft</w:t>
      </w:r>
    </w:p>
    <w:p>
      <w:pPr>
        <w:tabs>
          <w:tab w:val="right" w:pos="12780" w:leader="none"/>
        </w:tabs>
      </w:pPr>
      <w:r>
        <w:t xml:space="preserve">III.3.da Házi segítségnyújtás- szociális segítés                                                                                        1 fő             </w:t>
        <w:tab/>
        <w:t xml:space="preserve">    25.000,- Ft</w:t>
      </w:r>
    </w:p>
    <w:p>
      <w:pPr>
        <w:tabs>
          <w:tab w:val="left" w:pos="-1620" w:leader="none"/>
          <w:tab w:val="right" w:pos="12780" w:leader="none"/>
        </w:tabs>
      </w:pPr>
      <w:r>
        <w:t xml:space="preserve">III.3.db (1) Házi segítségnyújtás- személyi gondozás                                                                           18 fő            </w:t>
        <w:tab/>
        <w:t xml:space="preserve">  5.940.000,- Ft</w:t>
      </w:r>
    </w:p>
    <w:p>
      <w:pPr>
        <w:tabs>
          <w:tab w:val="left" w:pos="-1620" w:leader="none"/>
          <w:tab w:val="right" w:pos="12780" w:leader="none"/>
        </w:tabs>
      </w:pPr>
      <w:r>
        <w:t>III.3.f(1) Időskorúak nappali intézményi ellátása                                                                                    9 fő</w:t>
        <w:tab/>
        <w:t>981.000,- Ft</w:t>
      </w:r>
    </w:p>
    <w:p>
      <w:pPr>
        <w:tabs>
          <w:tab w:val="left" w:pos="-1620" w:leader="none"/>
          <w:tab w:val="right" w:pos="12780" w:leader="none"/>
        </w:tabs>
      </w:pPr>
      <w:r>
        <w:t>III.3.g(5) Demens személyek nappali intézményi ellátása                                                                      1 fő</w:t>
        <w:tab/>
        <w:t>500.000,- Ft</w:t>
      </w:r>
    </w:p>
    <w:p>
      <w:r/>
    </w:p>
    <w:p>
      <w:r>
        <w:t>III.4. A települési önkormányzatok által biztosított egyes szociális szakosított ellátások, valamint a gyermekek átmeneti gondozásával kapcsolatos feladatok támogatása</w:t>
      </w:r>
    </w:p>
    <w:p>
      <w:pPr>
        <w:tabs>
          <w:tab w:val="left" w:pos="-1980" w:leader="none"/>
          <w:tab w:val="right" w:pos="12780" w:leader="none"/>
        </w:tabs>
      </w:pPr>
      <w:r>
        <w:t xml:space="preserve">III.4.a A finanszírozás szempontjából elismert szakmai dolgozók bértámogatása                           21,00 fő         </w:t>
        <w:tab/>
        <w:t xml:space="preserve">  59.808.000,- Ft</w:t>
      </w:r>
    </w:p>
    <w:p>
      <w:pPr>
        <w:tabs>
          <w:tab w:val="left" w:pos="-1980" w:leader="none"/>
          <w:tab w:val="right" w:pos="12780" w:leader="none"/>
        </w:tabs>
      </w:pPr>
      <w:r>
        <w:t>III.4.b Intézmény-üzemeltetési támogatás</w:t>
        <w:tab/>
        <w:t>0,- Ft</w:t>
      </w:r>
    </w:p>
    <w:p>
      <w:r/>
    </w:p>
    <w:p>
      <w:r>
        <w:t>III.5. Gyermekétkeztetés támogatása</w:t>
      </w:r>
    </w:p>
    <w:p>
      <w:pPr>
        <w:tabs>
          <w:tab w:val="right" w:pos="12780" w:leader="none"/>
        </w:tabs>
      </w:pPr>
      <w:r>
        <w:t xml:space="preserve">III.5.a A finanszírozás szempontjából elismert dolgozók bértámogatása                                           8,52 fő           </w:t>
        <w:tab/>
        <w:t>16.188.000,- Ft</w:t>
      </w:r>
    </w:p>
    <w:p>
      <w:pPr>
        <w:tabs>
          <w:tab w:val="right" w:pos="12780" w:leader="none"/>
        </w:tabs>
      </w:pPr>
      <w:r>
        <w:t>III.5.b Gyermekétkeztetés üzemeltetési támogatás</w:t>
        <w:tab/>
        <w:t>0,- Ft</w:t>
      </w:r>
    </w:p>
    <w:p>
      <w:pPr>
        <w:tabs>
          <w:tab w:val="right" w:pos="12780" w:leader="none"/>
        </w:tabs>
      </w:pPr>
      <w:r/>
    </w:p>
    <w:p>
      <w:pPr>
        <w:tabs>
          <w:tab w:val="right" w:pos="12780" w:leader="none"/>
        </w:tabs>
      </w:pPr>
      <w:r>
        <w:t xml:space="preserve">III.6. A rászoruló gyermekek szünidei étkeztetésének támogatása                                                1.508 adag       </w:t>
        <w:tab/>
        <w:t xml:space="preserve"> 859.560,- Ft</w:t>
      </w:r>
    </w:p>
    <w:p>
      <w:pPr>
        <w:tabs>
          <w:tab w:val="right" w:pos="12780" w:leader="none"/>
        </w:tabs>
      </w:pPr>
      <w:r/>
    </w:p>
    <w:p>
      <w:pPr>
        <w:tabs>
          <w:tab w:val="right" w:pos="12780" w:leader="none"/>
        </w:tabs>
      </w:pPr>
      <w:r>
        <w:t>III.7. Bölcsőde, mini bölcsőde támogatása</w:t>
      </w:r>
    </w:p>
    <w:p>
      <w:pPr>
        <w:tabs>
          <w:tab w:val="right" w:pos="12780" w:leader="none"/>
        </w:tabs>
      </w:pPr>
      <w:r>
        <w:t xml:space="preserve">III.7.a(2) A finanszírozás szempontjából elismert szakmai dolgozók bértámogatása: bölcsődei dajkák, középfokú végzettségű kisgyermeknevelők, szaktanácsadók                                                                                                    4,0 fő                    11.972.000,- Ft     </w:t>
      </w:r>
    </w:p>
    <w:p>
      <w:pPr>
        <w:tabs>
          <w:tab w:val="right" w:pos="12780" w:leader="none"/>
        </w:tabs>
      </w:pPr>
      <w:r>
        <w:t xml:space="preserve">III.7.b Bölcsődei üzemeltetési támogatás                                                                                                                                          0,- Ft                                              </w:t>
      </w:r>
    </w:p>
    <w:p>
      <w:r/>
    </w:p>
    <w:p>
      <w:pPr>
        <w:tabs>
          <w:tab w:val="decimal" w:pos="7740" w:leader="none"/>
          <w:tab w:val="right" w:pos="12780" w:leader="none"/>
        </w:tabs>
        <w:rPr>
          <w:b/>
          <w:bCs/>
        </w:rPr>
      </w:pPr>
      <w:r>
        <w:rPr>
          <w:b/>
          <w:bCs/>
        </w:rPr>
        <w:t>III.</w:t>
      </w:r>
      <w:r>
        <w:t xml:space="preserve"> </w:t>
      </w:r>
      <w:r>
        <w:rPr>
          <w:b/>
          <w:bCs/>
        </w:rPr>
        <w:t xml:space="preserve">A települési önkormányzatok szociális, gyermekjóléti és gyermekétkeztetési feladatainak támogatása </w:t>
        <w:tab/>
        <w:t xml:space="preserve"> 124.334.040,- Ft</w:t>
      </w:r>
      <w:r>
        <w:rPr>
          <w:b/>
          <w:bCs/>
        </w:rPr>
      </w:r>
    </w:p>
    <w:p>
      <w:pPr>
        <w:tabs>
          <w:tab w:val="decimal" w:pos="7740" w:leader="none"/>
          <w:tab w:val="right" w:pos="12780" w:leader="none"/>
        </w:tabs>
        <w:rPr>
          <w:b/>
          <w:bCs/>
        </w:rPr>
      </w:pPr>
      <w:r>
        <w:rPr>
          <w:b/>
          <w:bCs/>
        </w:rPr>
      </w:r>
    </w:p>
    <w:p>
      <w:pPr>
        <w:tabs>
          <w:tab w:val="decimal" w:pos="7740" w:leader="none"/>
          <w:tab w:val="right" w:pos="12780" w:leader="none"/>
        </w:tabs>
        <w:rPr>
          <w:bCs/>
        </w:rPr>
      </w:pPr>
      <w:r>
        <w:rPr>
          <w:bCs/>
        </w:rPr>
        <w:t>IV.1.d Települési önkormányzatok nyilvános könyvtári és a közművelődési feladatainak támogatása</w:t>
        <w:tab/>
        <w:t>0,- Ft</w:t>
      </w:r>
    </w:p>
    <w:p>
      <w:pPr>
        <w:tabs>
          <w:tab w:val="decimal" w:pos="7740" w:leader="none"/>
          <w:tab w:val="right" w:pos="12780" w:leader="none"/>
        </w:tabs>
        <w:rPr>
          <w:bCs/>
        </w:rPr>
      </w:pPr>
      <w:r>
        <w:rPr>
          <w:bCs/>
        </w:rPr>
      </w:r>
    </w:p>
    <w:p>
      <w:pPr>
        <w:tabs>
          <w:tab w:val="decimal" w:pos="7740" w:leader="none"/>
          <w:tab w:val="right" w:pos="12780" w:leader="none"/>
        </w:tabs>
        <w:rPr>
          <w:b/>
          <w:bCs/>
        </w:rPr>
      </w:pPr>
      <w:r>
        <w:rPr>
          <w:b/>
          <w:bCs/>
        </w:rPr>
        <w:t>IV. A települési önkormányzatok kulturális feladatainak támogatása</w:t>
        <w:tab/>
        <w:tab/>
        <w:t>0,- Ft</w:t>
      </w:r>
    </w:p>
    <w:p>
      <w:pPr>
        <w:tabs>
          <w:tab w:val="decimal" w:pos="7740" w:leader="none"/>
          <w:tab w:val="right" w:pos="12780" w:leader="none"/>
        </w:tabs>
        <w:rPr>
          <w:b/>
          <w:bCs/>
        </w:rPr>
      </w:pPr>
      <w:r>
        <w:rPr>
          <w:b/>
          <w:bCs/>
        </w:rPr>
      </w:r>
    </w:p>
    <w:p>
      <w:pPr>
        <w:tabs>
          <w:tab w:val="decimal" w:pos="7740" w:leader="none"/>
          <w:tab w:val="right" w:pos="12780" w:leader="none"/>
        </w:tabs>
        <w:rPr>
          <w:b/>
          <w:bCs/>
        </w:rPr>
      </w:pPr>
      <w:r>
        <w:rPr>
          <w:b/>
          <w:bCs/>
        </w:rPr>
        <w:t>Állami támogatások:</w:t>
        <w:tab/>
        <w:tab/>
        <w:t>380.760.299,- Ft</w:t>
      </w:r>
    </w:p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8"/>
      <w:footerReference w:type="default" r:id="rId9"/>
      <w:headerReference w:type="first" r:id="rId10"/>
      <w:footerReference w:type="first" r:id="rId11"/>
      <w:type w:val="nextPage"/>
      <w:pgSz w:h="11906" w:w="16838" w:orient="landscape"/>
      <w:pgMar w:left="1418" w:top="1418" w:right="1418" w:bottom="1418" w:header="709" w:footer="709"/>
      <w:paperSrc w:first="0" w:other="0"/>
      <w:pgNumType w:fmt="decimal"/>
      <w:titlePg/>
      <w:tmGutter w:val="3"/>
      <w:mirrorMargins w:val="0"/>
      <w:tmSection w:h="-2">
        <w:tmHeader w:id="0" w:h="0" edge="709" text="0">
          <w:shd w:val="none"/>
        </w:tmHeader>
        <w:tmFooter w:id="0" w:h="0" edge="709" text="0">
          <w:shd w:val="none"/>
        </w:tmFooter>
        <w:tmHeader w:id="2" w:h="0" edge="709" text="0">
          <w:shd w:val="none"/>
        </w:tmHeader>
        <w:tmFooter w:id="2" w:h="0" edge="709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para1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0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14300" cy="175260"/>
              <wp:effectExtent l="0" t="0" r="0" b="0"/>
              <wp:wrapSquare wrapText="bothSides"/>
              <wp:docPr id="1" name="Szövegdoboz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extLst>
                        <a:ext uri="smNativeData">
                          <sm:smNativeData xmlns:sm="smNativeData" val="SMDATA_14_WLj2WxMAAAAlAAAAEg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GQQAAgi4AAAACAAAJAAAABAAAAAAAAAAMAAAAEAAAAAAAAAAAAAAAA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4gAAQAAAAAAAAAACAAAAAQAAAAAAAAAAAAAAAgAAAAEAAAC0AAAAFAEAAAAAAACJIAAAxgIAAA=="/>
                        </a:ext>
                      </a:extLst>
                    </wps:cNvSpPr>
                    <wps:spPr>
                      <a:xfrm>
                        <a:off x="0" y="0"/>
                        <a:ext cx="114300" cy="17526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para1"/>
                            <w:rPr>
                              <w:rStyle w:val="char1"/>
                            </w:rPr>
                          </w:pPr>
                          <w:r>
                            <w:rPr>
                              <w:rStyle w:val="char1"/>
                            </w:rPr>
                          </w:r>
                          <w:r>
                            <w:rPr>
                              <w:rStyle w:val="char1"/>
                            </w:rPr>
                            <w:fldChar w:fldCharType="begin"/>
                            <w:instrText xml:space="preserve"> PAGE </w:instrText>
                            <w:fldChar w:fldCharType="separate"/>
                            <w:t>2</w:t>
                            <w:fldChar w:fldCharType="end"/>
                          </w:r>
                          <w:r>
                            <w:rPr>
                              <w:rStyle w:val="char1"/>
                            </w:rPr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path gradientshapeok="t" o:connecttype="rect"/>
            </v:shapetype>
            <v:shape id="Szövegdoboz1" o:spid="_x0000_s2049" type="#_x0000_t202" style="position:absolute;mso-position-horizontal:center;margin-top:0.05pt;mso-position-horizontal-relative:margin;width:9.00pt;height:13.80pt;z-index:251658241;mso-wrap-distance-left:0.00pt;mso-wrap-distance-top:0.00pt;mso-wrap-distance-right:0.00pt;mso-wrap-distance-bottom:0.00pt;mso-wrap-style:square" stroked="f" filled="f" v:ext="SMDATA_14_WLj2WxMAAAAlAAAAEg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GQQAAgi4AAAACAAAJAAAABAAAAAAAAAAMAAAAEAAAAAAAAAAAAAAAA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4gAAQAAAAAAAAAACAAAAAQAAAAAAAAAAAAAAAgAAAAEAAAC0AAAAFAEAAAAAAACJIAAAxgIAAA==" o:insetmode="custom">
              <w10:wrap type="square" anchorx="margin" anchory="text"/>
              <v:textbox style="mso-fit-shape-to-text:t" inset="0.0pt,0.0pt,0.0pt,0.0pt">
                <w:txbxContent>
                  <w:p>
                    <w:pPr>
                      <w:pStyle w:val="para1"/>
                      <w:rPr>
                        <w:rStyle w:val="char1"/>
                      </w:rPr>
                    </w:pPr>
                    <w:r>
                      <w:rPr>
                        <w:rStyle w:val="char1"/>
                      </w:rPr>
                    </w:r>
                    <w:r>
                      <w:rPr>
                        <w:rStyle w:val="char1"/>
                      </w:rPr>
                      <w:fldChar w:fldCharType="begin"/>
                      <w:instrText xml:space="preserve"> PAGE </w:instrText>
                      <w:fldChar w:fldCharType="separate"/>
                      <w:t>2</w:t>
                      <w:fldChar w:fldCharType="end"/>
                    </w:r>
                    <w:r>
                      <w:rPr>
                        <w:rStyle w:val="char1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  <w:rPr/>
    </w:lvl>
  </w:abstractNum>
  <w:abstractNum w:abstractNumId="1">
    <w:multiLevelType w:val="hybridMultilevel"/>
    <w:name w:val="Számozott lista 1"/>
    <w:lvl w:ilvl="0">
      <w:start w:val="1"/>
      <w:numFmt w:val="decimal"/>
      <w:suff w:val="tab"/>
      <w:lvlText w:val="%1."/>
      <w:lvlJc w:val="left"/>
      <w:pPr>
        <w:ind w:left="360" w:hanging="0"/>
      </w:pPr>
      <w:rPr/>
    </w:lvl>
    <w:lvl w:ilvl="1">
      <w:start w:val="1"/>
      <w:numFmt w:val="lowerLetter"/>
      <w:suff w:val="tab"/>
      <w:lvlText w:val="%2."/>
      <w:lvlJc w:val="left"/>
      <w:pPr>
        <w:ind w:left="1080" w:hanging="0"/>
      </w:pPr>
      <w:rPr/>
    </w:lvl>
    <w:lvl w:ilvl="2">
      <w:start w:val="1"/>
      <w:numFmt w:val="lowerRoman"/>
      <w:suff w:val="tab"/>
      <w:lvlText w:val="%3."/>
      <w:lvlJc w:val="left"/>
      <w:pPr>
        <w:ind w:left="1980" w:hanging="0"/>
      </w:pPr>
      <w:rPr/>
    </w:lvl>
    <w:lvl w:ilvl="3">
      <w:start w:val="1"/>
      <w:numFmt w:val="decimal"/>
      <w:suff w:val="tab"/>
      <w:lvlText w:val="%4."/>
      <w:lvlJc w:val="left"/>
      <w:pPr>
        <w:ind w:left="2520" w:hanging="0"/>
      </w:pPr>
      <w:rPr/>
    </w:lvl>
    <w:lvl w:ilvl="4">
      <w:start w:val="1"/>
      <w:numFmt w:val="lowerLetter"/>
      <w:suff w:val="tab"/>
      <w:lvlText w:val="%5."/>
      <w:lvlJc w:val="left"/>
      <w:pPr>
        <w:ind w:left="3240" w:hanging="0"/>
      </w:pPr>
      <w:rPr/>
    </w:lvl>
    <w:lvl w:ilvl="5">
      <w:start w:val="1"/>
      <w:numFmt w:val="lowerRoman"/>
      <w:suff w:val="tab"/>
      <w:lvlText w:val="%6."/>
      <w:lvlJc w:val="left"/>
      <w:pPr>
        <w:ind w:left="4140" w:hanging="0"/>
      </w:pPr>
      <w:rPr/>
    </w:lvl>
    <w:lvl w:ilvl="6">
      <w:start w:val="1"/>
      <w:numFmt w:val="decimal"/>
      <w:suff w:val="tab"/>
      <w:lvlText w:val="%7."/>
      <w:lvlJc w:val="left"/>
      <w:pPr>
        <w:ind w:left="4680" w:hanging="0"/>
      </w:pPr>
      <w:rPr/>
    </w:lvl>
    <w:lvl w:ilvl="7">
      <w:start w:val="1"/>
      <w:numFmt w:val="lowerLetter"/>
      <w:suff w:val="tab"/>
      <w:lvlText w:val="%8."/>
      <w:lvlJc w:val="left"/>
      <w:pPr>
        <w:ind w:left="5400" w:hanging="0"/>
      </w:pPr>
      <w:rPr/>
    </w:lvl>
    <w:lvl w:ilvl="8">
      <w:start w:val="1"/>
      <w:numFmt w:val="lowerRoman"/>
      <w:suff w:val="tab"/>
      <w:lvlText w:val="%9."/>
      <w:lvlJc w:val="left"/>
      <w:pPr>
        <w:ind w:left="6300" w:hanging="0"/>
      </w:pPr>
      <w:rPr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Táblázat" w:pos="below" w:numFmt="decimal"/>
    <w:caption w:name="Ábra" w:pos="below" w:numFmt="decimal"/>
    <w:caption w:name="Kép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shapeDefaults>
    <o:shapedefaults v:ext="edit" spidmax="5121"/>
    <o:shapelayout v:ext="edit">
      <o:rules v:ext="edit"/>
    </o:shapelayout>
  </w:shapeDefaults>
  <w:tmPrefOne w:val="17"/>
  <w:tmPrefTwo w:val="1"/>
  <w:tmFmtPref w:val="189283691"/>
  <w:tmCommentsPr>
    <w:tmCommentsPlace w:val="0"/>
    <w:tmCommentsWidth w:val="3119"/>
    <w:tmCommentsColor w:val="-1"/>
  </w:tmCommentsPr>
  <w:tmReviewPr>
    <w:tmReviewEnabled w:val="0"/>
    <w:tmReviewShow w:val="1"/>
    <w:tmReviewPrint w:val="1"/>
    <w:tmRevisionNum w:val="4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1"/>
    <w:tmLastPosSelect w:val="0"/>
    <w:tmLastPosFrameIdx w:val="0"/>
    <w:tmLastPosCaret>
      <w:tmLastPosPgfIdx w:val="44"/>
      <w:tmLastPosIdx w:val="126"/>
    </w:tmLastPosCaret>
    <w:tmLastPosAnchor>
      <w:tmLastPosPgfIdx w:val="0"/>
      <w:tmLastPosIdx w:val="0"/>
    </w:tmLastPosAnchor>
    <w:tmLastPosTblRect w:left="0" w:top="0" w:right="0" w:bottom="0"/>
  </w:tmLastPos>
  <w:tmAppRevision w:date="1542895704" w:val="938" w:fileVer="341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sz w:val="20"/>
        <w:szCs w:val="20"/>
        <w:lang w:val="hu-h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para0" w:default="1">
    <w:name w:val="Normal"/>
    <w:qFormat/>
    <w:pPr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sz w:val="24"/>
      <w:szCs w:val="24"/>
      <w:lang w:val="hu-hu" w:eastAsia="zh-cn" w:bidi="ar-sa"/>
    </w:rPr>
  </w:style>
  <w:style w:type="paragraph" w:styleId="para1">
    <w:name w:val="Header"/>
    <w:qFormat/>
    <w:basedOn w:val="para0"/>
    <w:pPr>
      <w:tabs>
        <w:tab w:val="center" w:pos="4536" w:leader="none"/>
        <w:tab w:val="right" w:pos="9072" w:leader="none"/>
      </w:tabs>
    </w:pPr>
  </w:style>
  <w:style w:type="character" w:styleId="char0" w:default="1">
    <w:name w:val="Default Paragraph Font"/>
  </w:style>
  <w:style w:type="character" w:styleId="char1">
    <w:name w:val="Page Number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SimSun" w:cs="Times New Roman"/>
        <w:sz w:val="20"/>
        <w:szCs w:val="20"/>
        <w:lang w:val="hu-h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para0" w:default="1">
    <w:name w:val="Normal"/>
    <w:qFormat/>
    <w:pPr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sz w:val="24"/>
      <w:szCs w:val="24"/>
      <w:lang w:val="hu-hu" w:eastAsia="zh-cn" w:bidi="ar-sa"/>
    </w:rPr>
  </w:style>
  <w:style w:type="paragraph" w:styleId="para1">
    <w:name w:val="Header"/>
    <w:qFormat/>
    <w:basedOn w:val="para0"/>
    <w:pPr>
      <w:tabs>
        <w:tab w:val="center" w:pos="4536" w:leader="none"/>
        <w:tab w:val="right" w:pos="9072" w:leader="none"/>
      </w:tabs>
    </w:pPr>
  </w:style>
  <w:style w:type="character" w:styleId="char0" w:default="1">
    <w:name w:val="Default Paragraph Font"/>
  </w:style>
  <w:style w:type="character" w:styleId="char1">
    <w:name w:val="Page Numb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Relationship Id="rId11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rev.938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</dc:title>
  <dc:subject/>
  <dc:creator>pu4</dc:creator>
  <cp:keywords/>
  <dc:description/>
  <cp:lastModifiedBy/>
  <cp:revision>4</cp:revision>
  <cp:lastPrinted>2018-11-22T14:13:49Z</cp:lastPrinted>
  <dcterms:created xsi:type="dcterms:W3CDTF">2018-01-25T08:51:00Z</dcterms:created>
  <dcterms:modified xsi:type="dcterms:W3CDTF">2018-11-22T14:08:24Z</dcterms:modified>
</cp:coreProperties>
</file>