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 w:after="60"/>
        <w:jc w:val="lef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cs="Arial"/>
          <w:bCs w:val="0"/>
          <w:i/>
          <w:kern w:val="1"/>
          <w:sz w:val="24"/>
          <w:szCs w:val="24"/>
        </w:rPr>
      </w:pPr>
      <w:r>
        <w:rPr>
          <w:rFonts w:ascii="Arial" w:hAnsi="Arial" w:cs="Arial"/>
          <w:bCs w:val="0"/>
          <w:i/>
          <w:kern w:val="1"/>
          <w:sz w:val="24"/>
          <w:szCs w:val="24"/>
        </w:rPr>
        <w:t>Csorvás Város Jegyzőjétől</w:t>
      </w:r>
    </w:p>
    <w:p>
      <w:pPr>
        <w:pStyle w:val="para2"/>
        <w:spacing w:after="60"/>
        <w:jc w:val="lef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bCs w:val="0"/>
          <w:kern w:val="1"/>
          <w:sz w:val="24"/>
          <w:szCs w:val="24"/>
        </w:rPr>
      </w:pPr>
      <w:r>
        <w:rPr>
          <w:b w:val="0"/>
          <w:bCs w:val="0"/>
          <w:kern w:val="1"/>
          <w:sz w:val="24"/>
          <w:szCs w:val="24"/>
        </w:rPr>
        <w:t>5920 Csorvás, Rákóczi utca 17.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Csorvás Város Önkormányzata Képviselő-testületéhez a 2019. évi belső ellenőrzési terv jóváhagyására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Tisztelt Képviselő-testület!</w:t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1"/>
        <w:spacing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Magyarország helyi önkormányzatairól szóló 2011. évi CLXXXIX. tv. 119. § (3)-(6) bekezdései írják elő a helyi önkormányzatok belső kontrollrendszerének működtetésének kötelezettségét. Ennek keretében a jegyző köteles – a jogszabályok alapján meghatározott – belső kontrollrendszert működtetni, amely biztosítja a helyi önkormányzat rendelkezésére álló források szabályszerű, gazdaságos, hatékony és eredményes felhasználását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A kontrollrendszer működése biztosítja a felügyelt költségvetési szervek ellenőrzését is. A hivatkozott jogszabály alapján a helyi önkormányzatra vonatkozó éves belső ellenőrzési tervet a Képviselő-testület az előző év december 31-ig hagyja jóvá.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államháztartásról szóló 2011. évi CXCV. törvény (Áht.) 70. §-a alapján az irányító szerv belső ellenőrzést végezhet</w:t>
      </w:r>
    </w:p>
    <w:p>
      <w:pPr>
        <w:pStyle w:val="para11"/>
        <w:numPr>
          <w:ilvl w:val="0"/>
          <w:numId w:val="11"/>
        </w:numPr>
        <w:ind w:left="720" w:hanging="360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irányítása alá tartozó bármely költségvetési szervnél,</w:t>
      </w:r>
    </w:p>
    <w:p>
      <w:pPr>
        <w:pStyle w:val="para11"/>
        <w:numPr>
          <w:ilvl w:val="0"/>
          <w:numId w:val="11"/>
        </w:numPr>
        <w:ind w:left="720" w:hanging="360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saját vagy az irányítása, felügyelete alá tartozó költségvetési szerv használatába, vagyonkezelésébe adott nemzeti vagyonnal való gazdálkodás tekintetében,</w:t>
      </w:r>
    </w:p>
    <w:p>
      <w:pPr>
        <w:pStyle w:val="para11"/>
        <w:numPr>
          <w:ilvl w:val="0"/>
          <w:numId w:val="11"/>
        </w:numPr>
        <w:ind w:left="720" w:hanging="360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általa nyújtott költségvetési támogatások felhasználásával kapcsolatosan a kedvezményezetteknél és lebonyolító szerveknél,</w:t>
      </w:r>
    </w:p>
    <w:p>
      <w:pPr>
        <w:pStyle w:val="para11"/>
        <w:numPr>
          <w:ilvl w:val="0"/>
          <w:numId w:val="11"/>
        </w:numPr>
        <w:ind w:left="720" w:hanging="360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irányítása alá tartozó bármely köztulajdonban álló gazdasági társaság takarékosabb működéséről szóló 2009. évi CXXII törvény 1. § a) pontjában meghatározott köztulajdonban álló gazdasági társaságnál.</w:t>
      </w:r>
    </w:p>
    <w:p>
      <w:pPr>
        <w:pStyle w:val="para11"/>
        <w:ind w:left="720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költségvetési szervek belső kontrollrendszeréről és belső ellenőrzéséről szóló 370/2011. (XII. 31.) Kormányrendelet (Bkr.) értelmezésében a belső ellenőrzés független, tárgyilagos, bizonyosságot adó és tanácsadó tevékenység. Az Áht. 70. §. (2) bekezdésében foglaltaknak megfelelően a belső ellenőr bizonyosságot adó és tanácsadó tevékenysége keretében a jogszabályoknak és belső szabályzatoknak való megfelelést, a tervezést, a gazdálkodást és a közfeladatok ellátását vizsgálva megállapításokat és javaslatokat fogalmaz meg a költségvetési szerv vezetője részére. A belső ellenőr ezen túl más tevékenységbe nem vonható be.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belső ellenőr a tevékenységét a költségvetési szerv vezetőjének közvetlenül alárendelve végzi és jelentéseit közvetlenül a szerv vezetője részére küldi meg.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éves ellenőrzési terv elkészítésére vonatkozó szabályokat a Bkr. 15. fejezete tartalmazza, mely meghatározza a költségvetési szerv vezetőjének ezzel kapcsolatos feladatát.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belső ellenőrzési tervnek kockázatelemzés alapján felállított prioritásokon és a belső ellenőrzés rendelkezésére álló erőforrásokon kell alapulnia. A belső ellenőrzés így tudja betölteni a funkcióját.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Ezen szempontok figyelembe vételével készült a belső ellenőrzés ütemterve, melyet ezúton terjesztek mellékletként a Tisztelt Képviselő-testület elé.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center"/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r>
    </w:p>
    <w:p>
      <w:pPr>
        <w:pStyle w:val="para11"/>
        <w:spacing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.../2018. (….…) KT határozat</w:t>
      </w:r>
    </w:p>
    <w:p>
      <w:pPr>
        <w:pStyle w:val="para11"/>
        <w:spacing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(tervezet)</w:t>
      </w:r>
    </w:p>
    <w:p>
      <w:pPr>
        <w:pStyle w:val="para11"/>
        <w:spacing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Csorvás Város Önkormányzatának Képviselő-testülete a jelen határozat mellékletét képező, Csorvás Város Önkormányzatának 2019. évi belső ellenőrzési munkatervet jóváhagyja.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hu-hu"/>
        </w:rPr>
        <w:t>Felelős</w:t>
      </w:r>
      <w:r>
        <w:rPr>
          <w:rFonts w:ascii="Times New Roman" w:hAnsi="Times New Roman" w:cs="Times New Roman"/>
          <w:sz w:val="24"/>
          <w:szCs w:val="24"/>
          <w:lang w:val="hu-hu"/>
        </w:rPr>
        <w:t>: Dr. Kerekesné Dr. Mracskó Gyöngyi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hu-hu"/>
        </w:rPr>
        <w:t>Határidő</w:t>
      </w:r>
      <w:r>
        <w:rPr>
          <w:rFonts w:ascii="Times New Roman" w:hAnsi="Times New Roman" w:cs="Times New Roman"/>
          <w:sz w:val="24"/>
          <w:szCs w:val="24"/>
          <w:lang w:val="hu-hu"/>
        </w:rPr>
        <w:t>: értelem szerinti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Csorvás, 2018. december 10.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5103"/>
        <w:spacing/>
        <w:jc w:val="center"/>
      </w:pPr>
      <w:r>
        <w:t>Dr. Kerekesné Dr. Mracskó Gyöngyi jegyző</w:t>
      </w:r>
      <w:r>
        <w:br w:type="page"/>
      </w:r>
    </w:p>
    <w:p>
      <w:r/>
    </w:p>
    <w:p>
      <w:pPr>
        <w:pStyle w:val="par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-84455</wp:posOffset>
                </wp:positionV>
                <wp:extent cx="1188720" cy="1188720"/>
                <wp:effectExtent l="0" t="0" r="0" b="0"/>
                <wp:wrapNone/>
                <wp:docPr id="1" name="Szövegdobo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4_N40TXB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0AAAAAoAAAIAAAAAAAAAAAAAAAAgAAAMccAAAAAAAAAgAAAHv///9QBwAAUAcAAAIAAABRIgAAGQYAAA=="/>
                          </a:ext>
                        </a:extLst>
                      </wps:cNvSpPr>
                      <wps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Szövegdoboz1" o:spid="_x0000_s1026" type="#_x0000_t202" style="position:absolute;margin-left:368.35pt;margin-top:-6.65pt;width:93.60pt;height:93.60pt;z-index:251658241;mso-wrap-distance-left:9.00pt;mso-wrap-distance-top:0.00pt;mso-wrap-distance-right:9.00pt;mso-wrap-distance-bottom:0.00pt;mso-wrap-style:square" stroked="f" fillcolor="#ffffff" v:ext="SMDATA_14_N40TXB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0AAAAAoAAAIAAAAAAAAAAAAAAAAgAAAMccAAAAAAAAAgAAAHv///9QBwAAUAcAAAIAAABRIgAAGQYAAA==" o:insetmode="custom">
                <v:fill color2="#000000" type="solid" angle="180"/>
                <w10:wrap type="none" anchorx="text" anchory="text"/>
                <v:textbox inset="7.2pt,3.6pt,7.2pt,3.6pt">
                  <w:txbxContent>
                    <w:p>
                      <w:r/>
                    </w:p>
                    <w:p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</w:p>
    <w:p>
      <w:r/>
    </w:p>
    <w:p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center"/>
        <w:rPr>
          <w:b/>
          <w:sz w:val="36"/>
          <w:szCs w:val="36"/>
        </w:rPr>
      </w:pPr>
      <w:r>
        <w:rPr>
          <w:b/>
          <w:caps/>
          <w:sz w:val="36"/>
          <w:szCs w:val="36"/>
        </w:rPr>
        <w:t>Csorvás Város</w:t>
      </w:r>
      <w:r>
        <w:rPr>
          <w:b/>
        </w:rPr>
        <w:t xml:space="preserve"> </w:t>
      </w:r>
      <w:r>
        <w:rPr>
          <w:b/>
          <w:sz w:val="36"/>
          <w:szCs w:val="36"/>
        </w:rPr>
        <w:t xml:space="preserve">ÖNKORMÁNYZAT </w:t>
      </w:r>
      <w:r>
        <w:rPr>
          <w:b/>
          <w:sz w:val="36"/>
          <w:szCs w:val="36"/>
        </w:rPr>
      </w:r>
    </w:p>
    <w:p>
      <w:pPr>
        <w: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2019. ÉVI </w:t>
      </w:r>
    </w:p>
    <w:p>
      <w:pPr>
        <w: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BELSŐ ELLENŐRZÉSI MUNKATERVE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  <w:outlineLvl w:val="0"/>
      </w:pPr>
      <w:r/>
    </w:p>
    <w:p>
      <w:pPr>
        <w:spacing/>
        <w:jc w:val="both"/>
        <w:outlineLvl w:val="0"/>
      </w:pPr>
      <w:r/>
    </w:p>
    <w:p>
      <w:pPr>
        <w:spacing/>
        <w:jc w:val="both"/>
        <w:outlineLvl w:val="0"/>
      </w:pPr>
      <w:r/>
    </w:p>
    <w:p>
      <w:pPr>
        <w:spacing/>
        <w:jc w:val="both"/>
        <w:outlineLvl w:val="0"/>
      </w:pPr>
      <w:r/>
    </w:p>
    <w:p>
      <w:pPr>
        <w:spacing/>
        <w:jc w:val="both"/>
      </w:pPr>
      <w:r/>
    </w:p>
    <w:p>
      <w:pPr>
        <w:spacing/>
        <w:jc w:val="both"/>
      </w:pPr>
      <w:r>
        <w:tab/>
      </w:r>
    </w:p>
    <w:p>
      <w:pPr>
        <w:spacing/>
        <w:jc w:val="both"/>
      </w:pPr>
      <w:r/>
    </w:p>
    <w:p>
      <w:pPr>
        <w:ind w:left="4956"/>
        <w: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Összeállította: Haklik Józsefné</w:t>
      </w:r>
    </w:p>
    <w:p>
      <w:pPr>
        <w:ind w:left="2832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  <w:tab/>
        <w:tab/>
        <w:t>belső ellenőr</w:t>
      </w:r>
      <w:r>
        <w:br w:type="page"/>
      </w:r>
    </w:p>
    <w:p>
      <w:pPr>
        <w:ind w:left="1416" w:firstLine="708"/>
        <w:rPr>
          <w:b/>
        </w:rPr>
      </w:pPr>
      <w:r>
        <w:rPr>
          <w:b/>
        </w:rPr>
      </w:r>
    </w:p>
    <w:p>
      <w:pPr>
        <w:spacing/>
        <w:jc w:val="center"/>
        <w:rPr>
          <w:b/>
          <w:caps/>
        </w:rPr>
      </w:pPr>
      <w:r>
        <w:rPr>
          <w:b/>
          <w:caps/>
        </w:rPr>
      </w:r>
    </w:p>
    <w:p>
      <w:pPr>
        <w:spacing/>
        <w:jc w:val="center"/>
        <w:rPr>
          <w:b/>
        </w:rPr>
      </w:pPr>
      <w:r>
        <w:rPr>
          <w:b/>
          <w:caps/>
        </w:rPr>
        <w:t>Csorvás Város</w:t>
      </w:r>
      <w:r>
        <w:rPr>
          <w:b/>
        </w:rPr>
        <w:t xml:space="preserve"> ÖNKORMÁNYZATÁNAK 2019. ÉVI BELSŐ ELLENŐRZÉSI MUNKATERVE</w:t>
      </w:r>
    </w:p>
    <w:p>
      <w:pPr>
        <w:ind w:left="180" w:firstLine="1944"/>
        <w:rPr>
          <w:b/>
        </w:rPr>
      </w:pPr>
      <w:r>
        <w:rPr>
          <w:b/>
        </w:rPr>
      </w:r>
    </w:p>
    <w:p>
      <w:pPr>
        <w:ind w:left="180" w:firstLine="1944"/>
        <w:rPr>
          <w:b/>
        </w:rPr>
      </w:pPr>
      <w:r>
        <w:rPr>
          <w:b/>
        </w:rPr>
      </w:r>
    </w:p>
    <w:p>
      <w:pPr>
        <w:ind w:left="180" w:firstLine="1944"/>
        <w:rPr>
          <w:b/>
        </w:rPr>
      </w:pPr>
      <w:r>
        <w:rPr>
          <w:b/>
        </w:rPr>
      </w:r>
    </w:p>
    <w:p>
      <w:pPr>
        <w:spacing/>
        <w:jc w:val="both"/>
      </w:pPr>
      <w:r>
        <w:t xml:space="preserve">Csorvás Város Önkormányzatának 2019. évi </w:t>
      </w:r>
      <w:r>
        <w:rPr>
          <w:i/>
        </w:rPr>
        <w:t>éves belső ellenőrzési terve</w:t>
      </w:r>
      <w:r>
        <w:t xml:space="preserve"> a költségvetési szervek belső kontrollrendszerét és belső ellenőrzésének rendjét szabályozó 370/2011. (XII.31.) kormányrendelet (Bkr.) 31. §-ának rendelkezései, és az államháztartásért felelős miniszter szakmai módszertani útmutatója figyelembe vételével készült</w:t>
      </w:r>
    </w:p>
    <w:p>
      <w:pPr>
        <w:ind w:left="180" w:firstLine="1944"/>
        <w:rPr>
          <w:b/>
        </w:rPr>
      </w:pPr>
      <w:r>
        <w:rPr>
          <w:b/>
        </w:rPr>
      </w:r>
    </w:p>
    <w:p>
      <w:pPr>
        <w:spacing/>
        <w:jc w:val="both"/>
      </w:pPr>
      <w:r>
        <w:t>A Bkr. 31. § (4) bekezdése értelmében az ellenőrzési terv – többek között – tartalmazza: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ellenőrzési tervet megalapozó elemzések és kockázatelemzés eredményének összefoglaló bemutatását,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tervezett ellenőrzések tárgyát,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tervezett ellenőrzések célját, 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ellenőrizendő időszakot,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ellenőrzések típusát,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ellenőrzések tervezett ütemezését,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ellenőrzött szervezet megnevezését,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tanácsadó tevékenységre tervezett időt,</w:t>
      </w:r>
    </w:p>
    <w:p>
      <w:pPr>
        <w:pStyle w:val="para12"/>
        <w:numPr>
          <w:ilvl w:val="0"/>
          <w:numId w:val="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soron kívüli ellenőrzésekre tervezett időt.</w:t>
      </w:r>
    </w:p>
    <w:p>
      <w:pPr>
        <w:pStyle w:val="para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 Város Önkormányzata külső szolgáltatóval látja el a belső ellenőrzés körébe tartozó feladatokat, ezért az ellenőrzési kapacitás, a képzésre és egyéb tevékenységre fordított idő meghatározása nem szükséges.</w:t>
      </w:r>
    </w:p>
    <w:p>
      <w:pPr>
        <w:spacing/>
        <w:jc w:val="both"/>
      </w:pPr>
      <w:r>
        <w:t>A terv a kockázatelemzés alapján felállított prioritásokon, és a rendelkezésre álló erőforrásokon alapul.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elemzések szintézise alapján a következő fő folyamatokban kell vizsgálni a kockázati tényezők szerepét, jelentőségét, súlyát és kezelésük alternatíváit.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kötelezettségvállalások műveleti sorrendje és nyilvántartásai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költségvetés tervezése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beszámolási és jelentési kötelezettségek teljesítése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belső kontrollrendszer kialakítása, működése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költséggazdálkodás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eredendő és a kontrollkockázatok előzetes becslése és értékelése szerint kell meghatározni a belső kontrollrendszerek kockázati szintjét.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fő folyamatokhoz rendelt kockázati tényezők két kritérium, a bekövetkezés valószínűsége, és annak a szervezetre gyakorolt hatása összevont értékelése alapján állítható rangsorba az alábbiak szerint: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jogszabályi változások hatása,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belső szabályozás komplexitása,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kontrolltevékenységek működése,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személyi változások hatásai.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munkaterv az összevont kockázati prioritások mellett figyelembe veszi a belső ellenőrzés gyakorlatának szakmai szempontjait és tapasztalatait.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magasabb kockázati fokozatba sorolt folyamatok rendszeres és következetes ellenőrzése hozzájárul a kockázatkezelés jogszabályban előírt hatékony és eredményes végrehajtásához.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  <w:t>A tervezett ellenőrzések tárgya.</w:t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ellenőrzés tárgykörébe tartozik az önkormányzat működési feltételeinek és a működtetésre fordított kiadások felhasználása szabályszerűségének vizsgálata, valamint az ezekhez kapcsolódó pénzügyi-számviteli bizonylatok szabályszerűségének, összefüggésének vizsgálata.</w:t>
      </w:r>
    </w:p>
    <w:p>
      <w:pPr>
        <w:pStyle w:val="para11"/>
        <w: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pPr>
        <w:pStyle w:val="para11"/>
        <w:spacing/>
        <w:jc w:val="both"/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  <w:t>A tervezett ellenőrzések célja és módszerei:</w:t>
      </w:r>
    </w:p>
    <w:p>
      <w:pPr>
        <w:pStyle w:val="para11"/>
        <w:spacing/>
        <w:jc w:val="both"/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color="auto" w:val="single"/>
          <w:lang w:val="hu-hu"/>
        </w:rPr>
      </w:r>
    </w:p>
    <w:p>
      <w:pPr>
        <w:spacing/>
        <w:jc w:val="both"/>
      </w:pPr>
      <w:r>
        <w:t xml:space="preserve">A 2019. évi belső ellenőrzési tervben </w:t>
      </w:r>
      <w:r>
        <w:rPr>
          <w:i/>
        </w:rPr>
        <w:t>rendszerellenőrzés</w:t>
      </w:r>
      <w:r>
        <w:t xml:space="preserve">, </w:t>
      </w:r>
      <w:r>
        <w:rPr>
          <w:i/>
        </w:rPr>
        <w:t xml:space="preserve">szabályszerűségi ellenőrzés, pénzügyi ellenőrzés, valamint utó ellenőrzés </w:t>
      </w:r>
      <w:r>
        <w:t>végrehajtása szerepel.</w:t>
      </w:r>
    </w:p>
    <w:p>
      <w:pPr>
        <w:spacing/>
        <w:jc w:val="both"/>
      </w:pPr>
      <w:r/>
    </w:p>
    <w:p>
      <w:pPr>
        <w:spacing/>
        <w:jc w:val="both"/>
      </w:pPr>
      <w:r>
        <w:t xml:space="preserve">A </w:t>
      </w:r>
      <w:r>
        <w:rPr>
          <w:i/>
        </w:rPr>
        <w:t>rendszerellenőrzés</w:t>
      </w:r>
      <w:r>
        <w:t xml:space="preserve"> keretében az egyes rendszerek kialakításának, illetve működésének átfogó vizsgálatát kell elvégezni.</w:t>
      </w:r>
    </w:p>
    <w:p>
      <w:pPr>
        <w:spacing/>
        <w:jc w:val="both"/>
      </w:pPr>
      <w:r/>
    </w:p>
    <w:p>
      <w:pPr>
        <w:spacing/>
        <w:jc w:val="both"/>
      </w:pPr>
      <w:r>
        <w:t xml:space="preserve">A </w:t>
      </w:r>
      <w:r>
        <w:rPr>
          <w:i/>
        </w:rPr>
        <w:t>szabályszerűségi ellenőrzés</w:t>
      </w:r>
      <w:r>
        <w:t xml:space="preserve"> annak megállapítására irányul, hogy a vizsgált szervezet működése, tevékenysége megfelelően szabályozott-e, illetve, hogy a vonatkozó szabályozás érvényre jut-e.</w:t>
      </w:r>
    </w:p>
    <w:p>
      <w:pPr>
        <w:spacing/>
        <w:jc w:val="both"/>
      </w:pPr>
      <w:r/>
    </w:p>
    <w:p>
      <w:pPr>
        <w:spacing/>
        <w:jc w:val="both"/>
      </w:pPr>
      <w:r>
        <w:t xml:space="preserve">A </w:t>
      </w:r>
      <w:r>
        <w:rPr>
          <w:i/>
        </w:rPr>
        <w:t>pénzügyi ellenőrzés</w:t>
      </w:r>
      <w:r>
        <w:t xml:space="preserve"> célja a szervezet pénzügyi elszámolásainak, valamint az ezek alapjául szolgáló számviteli nyilvántartások ellenőrzése.</w:t>
      </w:r>
    </w:p>
    <w:p>
      <w:pPr>
        <w:spacing/>
        <w:jc w:val="both"/>
        <w:rPr>
          <w:rStyle w:val="char3"/>
        </w:rPr>
      </w:pPr>
      <w:r>
        <w:rPr>
          <w:rStyle w:val="char3"/>
        </w:rPr>
        <w:t xml:space="preserve">Az </w:t>
      </w:r>
      <w:r>
        <w:rPr>
          <w:rStyle w:val="char4"/>
        </w:rPr>
        <w:t>utóellenőrzés</w:t>
      </w:r>
      <w:r>
        <w:rPr>
          <w:rStyle w:val="char3"/>
          <w:i/>
        </w:rPr>
        <w:t xml:space="preserve"> </w:t>
      </w:r>
      <w:r>
        <w:rPr>
          <w:rStyle w:val="char3"/>
        </w:rPr>
        <w:t>az előző</w:t>
      </w:r>
      <w:r>
        <w:rPr>
          <w:rStyle w:val="char3"/>
        </w:rPr>
        <w:t>ek szerint</w:t>
      </w:r>
      <w:r>
        <w:rPr>
          <w:rStyle w:val="char3"/>
        </w:rPr>
        <w:t xml:space="preserve"> végrehajtott ellenőrzés</w:t>
      </w:r>
      <w:r>
        <w:rPr>
          <w:rStyle w:val="char3"/>
        </w:rPr>
        <w:t>ek</w:t>
      </w:r>
      <w:r>
        <w:rPr>
          <w:rStyle w:val="char3"/>
        </w:rPr>
        <w:t xml:space="preserve"> megállapításainak, a hozott intézkedések teljesítésének és azok hatásának vizsgálatát jelenti.</w:t>
      </w:r>
      <w:r>
        <w:rPr>
          <w:rStyle w:val="char3"/>
        </w:rPr>
      </w:r>
    </w:p>
    <w:p>
      <w:pPr>
        <w:spacing/>
        <w:jc w:val="both"/>
        <w:rPr>
          <w:rStyle w:val="char3"/>
        </w:rPr>
      </w:pPr>
      <w:r>
        <w:rPr>
          <w:rStyle w:val="char3"/>
        </w:rPr>
      </w:r>
    </w:p>
    <w:p>
      <w:pPr>
        <w:spacing/>
        <w:jc w:val="both"/>
      </w:pPr>
      <w:r>
        <w:t xml:space="preserve">Az ismertetett célrendszerben vizsgálat tárgyát képezi, hogy érvényesül-e a szervezetben </w:t>
      </w:r>
    </w:p>
    <w:p>
      <w:pPr>
        <w:pStyle w:val="para12"/>
        <w:numPr>
          <w:ilvl w:val="0"/>
          <w:numId w:val="1"/>
        </w:numPr>
        <w:ind w:left="720" w:hanging="36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működés és a gazdálkodás során a tevékenységek gazdaságos, hatékony és eredményes végrehajtása.</w:t>
      </w:r>
    </w:p>
    <w:p>
      <w:pPr>
        <w:pStyle w:val="para1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/>
        <w:jc w:val="both"/>
      </w:pPr>
      <w:r>
        <w:t xml:space="preserve"> Ennek érdekében fel kell tárni az önkormányzat likviditásának kockázati tényezőit, továbbá meg kell állapítani, hogy:</w:t>
      </w:r>
    </w:p>
    <w:p>
      <w:pPr>
        <w:pStyle w:val="para12"/>
        <w:numPr>
          <w:ilvl w:val="0"/>
          <w:numId w:val="1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kontrollrendszer működése megfelelő-e,</w:t>
      </w:r>
    </w:p>
    <w:p>
      <w:pPr>
        <w:pStyle w:val="para12"/>
        <w:numPr>
          <w:ilvl w:val="0"/>
          <w:numId w:val="1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vizsgált szervezet milyen színvonalon teljesítette az elszámolási kötelezettségeit,</w:t>
      </w:r>
    </w:p>
    <w:p>
      <w:pPr>
        <w:pStyle w:val="para12"/>
        <w:numPr>
          <w:ilvl w:val="0"/>
          <w:numId w:val="1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működést szolgáló eszközök állapota megfelelő-e, azaz érvényesül-e az a funkció, ami az erőforrásokat megvédi a veszteségektől, a károktól és a nem rendeltetésszerű használattól.</w:t>
      </w:r>
    </w:p>
    <w:p>
      <w:pPr>
        <w:pStyle w:val="para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2"/>
        <w:ind w:left="4678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munkaterv mellékletei: 1. számú melléklet: Csorvás Város Önkormányzatának 2019. évi belső ellenőrzési munkaterve részletes adatairól</w:t>
      </w:r>
    </w:p>
    <w:p>
      <w:pPr>
        <w:pStyle w:val="para12"/>
        <w:ind w:left="4678" w:hanging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számú melléklet: Csorvás Város Önkormányzatának 2019. évi belső ellenőrzési munkaterve összefoglaló adatai</w:t>
      </w:r>
    </w:p>
    <w:p>
      <w:pPr>
        <w:pStyle w:val="para12"/>
        <w:ind w:left="4678" w:hanging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számú melléklet: Kockázatelemzési összesítő táblázat </w:t>
      </w:r>
    </w:p>
    <w:p>
      <w:pPr>
        <w:pStyle w:val="para12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 Város Önkormányzatának 2019. évi belső ellenőrzési munkatervéhez</w:t>
      </w:r>
    </w:p>
    <w:p>
      <w:pPr>
        <w:pStyle w:val="para12"/>
        <w:ind w:left="4678" w:hanging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</w:r>
    </w:p>
    <w:p>
      <w:r/>
    </w:p>
    <w:p>
      <w:r>
        <w:t>Csorvás, 2018. december 10.</w:t>
      </w:r>
    </w:p>
    <w:p>
      <w:r/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8"/>
          <w:footerReference w:type="default" r:id="rId9"/>
          <w:headerReference w:type="first" r:id="rId10"/>
          <w:footerReference w:type="first" r:id="rId11"/>
          <w:type w:val="nextPage"/>
          <w:pgSz w:h="16838" w:w="11906"/>
          <w:pgMar w:left="1418" w:top="1418" w:right="1418" w:bottom="1418" w:footer="709"/>
          <w:paperSrc w:first="0" w:other="0"/>
          <w:pgNumType w:fmt="decimal"/>
          <w:titlePg/>
          <w:tmGutter w:val="3"/>
          <w:mirrorMargins w:val="0"/>
          <w:tmSection w:h="-1">
            <w:tmFooter w:id="0" w:h="0" edge="709" text="0">
              <w:shd w:val="none"/>
            </w:tmFooter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r/>
    </w:p>
    <w:p>
      <w:r/>
    </w:p>
    <w:p>
      <w:pPr>
        <w:ind w:right="-599"/>
        <w:spacing/>
        <w:jc w:val="right"/>
      </w:pPr>
      <w:r>
        <w:rPr>
          <w:b/>
        </w:rPr>
        <w:t>1. számú melléklet</w:t>
      </w:r>
      <w:r/>
    </w:p>
    <w:p>
      <w:pPr>
        <w:rPr>
          <w:b/>
        </w:rPr>
      </w:pPr>
      <w:r>
        <w:tab/>
        <w:tab/>
        <w:tab/>
        <w:tab/>
        <w:tab/>
        <w:t xml:space="preserve">    </w:t>
      </w:r>
      <w:r>
        <w:rPr>
          <w:b/>
        </w:rPr>
      </w:r>
    </w:p>
    <w:p>
      <w:pPr>
        <w:ind w:left="-540"/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ind w:left="-540"/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  <w:t>Csorvás Város Önkormányzatának</w:t>
      </w:r>
      <w:r>
        <w:rPr>
          <w:u w:color="auto" w:val="single"/>
        </w:rPr>
        <w:t xml:space="preserve"> </w:t>
      </w:r>
      <w:r>
        <w:rPr>
          <w:b/>
          <w:u w:color="auto" w:val="single"/>
        </w:rPr>
        <w:t>201</w:t>
      </w:r>
      <w:r>
        <w:rPr>
          <w:b/>
          <w:u w:color="auto" w:val="single"/>
        </w:rPr>
        <w:t>9</w:t>
      </w:r>
      <w:r>
        <w:rPr>
          <w:b/>
          <w:u w:color="auto" w:val="single"/>
        </w:rPr>
        <w:t xml:space="preserve">. évi belső ellenőrzési </w:t>
      </w:r>
      <w:r>
        <w:rPr>
          <w:b/>
          <w:u w:color="auto" w:val="single"/>
        </w:rPr>
        <w:t>munka</w:t>
      </w:r>
      <w:r>
        <w:rPr>
          <w:b/>
          <w:u w:color="auto" w:val="single"/>
        </w:rPr>
        <w:t xml:space="preserve"> </w:t>
      </w:r>
      <w:r>
        <w:rPr>
          <w:b/>
          <w:u w:color="auto" w:val="single"/>
        </w:rPr>
        <w:t>terv</w:t>
      </w:r>
      <w:r>
        <w:rPr>
          <w:b/>
          <w:u w:color="auto" w:val="single"/>
        </w:rPr>
        <w:t>e</w:t>
      </w:r>
      <w:r>
        <w:rPr>
          <w:b/>
          <w:u w:color="auto" w:val="single"/>
        </w:rPr>
        <w:t xml:space="preserve"> részletes adatai</w:t>
      </w:r>
      <w:r>
        <w:rPr>
          <w:b/>
          <w:u w:color="auto" w:val="single"/>
        </w:rPr>
        <w:t>ról</w:t>
      </w:r>
      <w:r>
        <w:rPr>
          <w:b/>
          <w:u w:color="auto" w:val="single"/>
        </w:rPr>
      </w:r>
    </w:p>
    <w:p>
      <w:pPr>
        <w:rPr>
          <w:b/>
        </w:rPr>
      </w:pPr>
      <w:r>
        <w:rPr>
          <w:b/>
        </w:rPr>
        <w:tab/>
      </w:r>
    </w:p>
    <w:p>
      <w:pPr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</w:r>
    </w:p>
    <w:p>
      <w:pPr>
        <w:rPr>
          <w:b/>
          <w:u w:color="auto" w:val="single"/>
        </w:rPr>
      </w:pPr>
      <w:r>
        <w:rPr>
          <w:b/>
          <w:u w:color="auto" w:val="single"/>
        </w:rPr>
      </w:r>
    </w:p>
    <w:tbl>
      <w:tblPr>
        <w:name w:val="Táblázat1"/>
        <w:tabOrder w:val="0"/>
        <w:jc w:val="left"/>
        <w:tblInd w:w="-432" w:type="dxa"/>
        <w:tblW w:w="15180" w:type="dxa"/>
      </w:tblPr>
      <w:tblGrid>
        <w:gridCol w:w="1080"/>
        <w:gridCol w:w="2340"/>
        <w:gridCol w:w="2880"/>
        <w:gridCol w:w="2700"/>
        <w:gridCol w:w="1080"/>
        <w:gridCol w:w="1980"/>
        <w:gridCol w:w="1560"/>
        <w:gridCol w:w="1560"/>
      </w:tblGrid>
      <w:tr>
        <w:trPr>
          <w:trHeight w:val="1186" w:hRule="atLeast"/>
        </w:trPr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</w:t>
            </w:r>
          </w:p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23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Ellenőrzött szerv</w:t>
            </w:r>
          </w:p>
        </w:tc>
        <w:tc>
          <w:tcPr>
            <w:tcW w:w="28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Ellenőrzés célja,</w:t>
            </w:r>
          </w:p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módszerei </w:t>
            </w:r>
          </w:p>
        </w:tc>
        <w:tc>
          <w:tcPr>
            <w:tcW w:w="270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Ellenőrzés tárgya </w:t>
            </w:r>
          </w:p>
        </w:tc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Ellenőri kapacitás (munka</w:t>
            </w:r>
          </w:p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nap)</w:t>
            </w:r>
          </w:p>
        </w:tc>
        <w:tc>
          <w:tcPr>
            <w:tcW w:w="19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Ellenőrzés típusa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 ellenőrzés ütemezése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Ellenőrizendő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időszak</w:t>
            </w:r>
          </w:p>
        </w:tc>
      </w:tr>
      <w:tr>
        <w:trPr>
          <w:trHeight w:val="567" w:hRule="atLeast"/>
        </w:trPr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 Város Önkormányzata és intézményei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Célja</w:t>
            </w:r>
            <w:r>
              <w:rPr>
                <w:sz w:val="20"/>
                <w:szCs w:val="20"/>
              </w:rPr>
              <w:t>: A feladatalapú támogatás igényléshez beküldött adatok megalapozottságának, pontosságának megállapítása.</w:t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Módszerei:</w:t>
            </w:r>
            <w:r>
              <w:rPr>
                <w:sz w:val="20"/>
                <w:szCs w:val="20"/>
              </w:rPr>
              <w:t xml:space="preserve"> dokumentumok, nyilvántartások, bizonylatok ellenőrzése</w:t>
            </w:r>
          </w:p>
          <w:p>
            <w:pPr>
              <w:spacing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sz w:val="20"/>
              </w:rPr>
            </w:pPr>
            <w:r>
              <w:rPr>
                <w:sz w:val="20"/>
                <w:szCs w:val="20"/>
              </w:rPr>
              <w:t>Állami hozzájárulás elszámolásának megalapozottsága</w:t>
            </w:r>
            <w:r>
              <w:rPr>
                <w:sz w:val="20"/>
              </w:rPr>
            </w:r>
          </w:p>
        </w:tc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Szabályszerűségi és pénzügyi ellenőrzés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 január február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 év</w:t>
            </w:r>
          </w:p>
        </w:tc>
      </w:tr>
      <w:tr>
        <w:trPr>
          <w:trHeight w:val="567" w:hRule="atLeast"/>
        </w:trPr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Csorvási  Roma Nemzetiségi Önkormányzat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Cambria" w:hAnsi="Cambria" w:cs="Tahoma"/>
                <w:sz w:val="20"/>
              </w:rPr>
            </w:pPr>
            <w:r>
              <w:rPr>
                <w:b/>
                <w:sz w:val="20"/>
                <w:szCs w:val="20"/>
              </w:rPr>
              <w:t>Célja: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</w:rPr>
              <w:t xml:space="preserve">annak vizsgálata, hogy </w:t>
            </w:r>
            <w:r>
              <w:rPr>
                <w:rFonts w:ascii="Cambria" w:hAnsi="Cambria" w:cs="Tahoma"/>
                <w:sz w:val="20"/>
              </w:rPr>
              <w:t>a roma önkormányzat</w:t>
            </w:r>
            <w:r>
              <w:rPr>
                <w:rFonts w:ascii="Cambria" w:hAnsi="Cambria" w:cs="Tahoma"/>
                <w:sz w:val="20"/>
              </w:rPr>
              <w:t xml:space="preserve"> működése, gazdálkodása, szabályozottsága megfelel-e a hatályos jogszabályoknak </w:t>
            </w:r>
            <w:r>
              <w:rPr>
                <w:rFonts w:ascii="Cambria" w:hAnsi="Cambria" w:cs="Tahoma"/>
                <w:sz w:val="20"/>
              </w:rPr>
            </w:r>
          </w:p>
          <w:p>
            <w:pPr>
              <w:spacing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Módszerei:</w:t>
            </w:r>
            <w:r>
              <w:rPr>
                <w:sz w:val="20"/>
                <w:szCs w:val="20"/>
              </w:rPr>
              <w:t xml:space="preserve"> dokumentumok, nyilvántartások, bizonylatok ellenőrzése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sz w:val="20"/>
                <w:szCs w:val="20"/>
              </w:rPr>
            </w:pPr>
            <w:r>
              <w:rPr>
                <w:rFonts w:ascii="Cambria" w:hAnsi="Cambria" w:cs="Tahoma"/>
                <w:bCs/>
                <w:sz w:val="20"/>
              </w:rPr>
              <w:t>A roma önkormányzat gazdálkodásának és működésének vizsgálata</w:t>
            </w: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Szabályszerűségi és pénzügyi ellenőrzés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2019.II.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félév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2019. I félév </w:t>
            </w:r>
          </w:p>
        </w:tc>
      </w:tr>
      <w:tr>
        <w:trPr>
          <w:trHeight w:val="567" w:hRule="atLeast"/>
        </w:trPr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Csorvás Polgármesteri Hivatal 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Célja:</w:t>
            </w:r>
            <w:r>
              <w:rPr>
                <w:sz w:val="20"/>
                <w:szCs w:val="20"/>
              </w:rPr>
              <w:t xml:space="preserve"> Annak megállapítása, hogy a belső kontrollrendszer működése megfelelő-e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Módszerei:</w:t>
            </w:r>
            <w:r>
              <w:rPr>
                <w:sz w:val="20"/>
                <w:szCs w:val="20"/>
              </w:rPr>
              <w:t xml:space="preserve"> dokumentumok, bizonylatok ellenőrzése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A belső kontrollrendszer kialakításának és működésének ellenőrzése</w:t>
            </w: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Rendszerellenőrzés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 III. negyed év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 – 2019. év</w:t>
            </w:r>
          </w:p>
        </w:tc>
      </w:tr>
      <w:tr>
        <w:trPr>
          <w:trHeight w:val="567" w:hRule="atLeast"/>
        </w:trPr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Csorvási Szolgáltató Nonprofit Kft.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Célja: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Annak megállapítása, hogy a 2018. évi intézkedési tervekben foglaltakat végrehajtották-e</w:t>
            </w:r>
          </w:p>
          <w:p>
            <w:pPr>
              <w:spacing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spacing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Módszerei:</w:t>
            </w:r>
            <w:r>
              <w:rPr>
                <w:sz w:val="20"/>
                <w:szCs w:val="20"/>
              </w:rPr>
              <w:t xml:space="preserve"> dokumentumok, bizonylatok ellenőrzése</w:t>
            </w:r>
            <w:r>
              <w:rPr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2018. évi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  <w:t>intézkedési tervek utóellenőrzése</w:t>
            </w: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Szabályszerűségi és pénzügyi ellenőrzés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2019. III.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negyed év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 év 01 – 06 hó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2"/>
          <w:footerReference w:type="default" r:id="rId13"/>
          <w:headerReference w:type="first" r:id="rId14"/>
          <w:footerReference w:type="first" r:id="rId15"/>
          <w:type w:val="nextPage"/>
          <w:pgSz w:h="11906" w:w="16838" w:orient="landscape"/>
          <w:pgMar w:left="1418" w:top="1418" w:right="1418" w:bottom="1418" w:footer="709"/>
          <w:paperSrc w:first="0" w:other="0"/>
          <w:pgNumType w:fmt="decimal"/>
          <w:titlePg/>
          <w:tmGutter w:val="3"/>
          <w:mirrorMargins w:val="0"/>
          <w:tmSection w:h="-1">
            <w:tmFooter w:id="0" w:h="0" edge="709" text="0">
              <w:shd w:val="none"/>
            </w:tmFooter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center"/>
        <w:tabs>
          <w:tab w:val="left" w:pos="2442" w:leader="none"/>
          <w:tab w:val="left" w:pos="4722" w:leader="none"/>
          <w:tab w:val="left" w:pos="7004" w:leader="none"/>
        </w:tabs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ind w:left="7004" w:right="2097"/>
        <w:spacing/>
        <w:jc w:val="right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  <w:t>2. számú melléklet</w:t>
      </w:r>
    </w:p>
    <w:p>
      <w:pPr>
        <w:spacing/>
        <w:jc w:val="center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  <w:t>Csorvás Város Önkormányzatának 2019. évi belső ellenőrzési munkaterve összefoglaló adatai</w:t>
      </w:r>
    </w:p>
    <w:p>
      <w:pPr>
        <w:ind w:left="7004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</w:r>
    </w:p>
    <w:p>
      <w:pPr>
        <w:ind w:left="7004"/>
        <w:tabs>
          <w:tab w:val="left" w:pos="2442" w:leader="none"/>
          <w:tab w:val="left" w:pos="4722" w:leader="none"/>
          <w:tab w:val="left" w:pos="7004" w:leader="none"/>
        </w:tabs>
        <w:rPr>
          <w:b/>
        </w:rPr>
      </w:pPr>
      <w:r>
        <w:rPr>
          <w:b/>
        </w:rPr>
      </w:r>
    </w:p>
    <w:p>
      <w:pPr>
        <w:ind w:left="7004"/>
        <w:tabs>
          <w:tab w:val="left" w:pos="2442" w:leader="none"/>
          <w:tab w:val="left" w:pos="4722" w:leader="none"/>
          <w:tab w:val="left" w:pos="7004" w:leader="none"/>
        </w:tabs>
      </w:pPr>
      <w:r/>
    </w:p>
    <w:tbl>
      <w:tblPr>
        <w:name w:val="Táblázat2"/>
        <w:tabOrder w:val="0"/>
        <w:jc w:val="center"/>
        <w:tblInd w:w="0" w:type="dxa"/>
        <w:tblW w:w="9089" w:type="dxa"/>
      </w:tblPr>
      <w:tblGrid>
        <w:gridCol w:w="2549"/>
        <w:gridCol w:w="1256"/>
        <w:gridCol w:w="1243"/>
        <w:gridCol w:w="1243"/>
        <w:gridCol w:w="1243"/>
        <w:gridCol w:w="1555"/>
      </w:tblGrid>
      <w:tr>
        <w:trPr>
          <w:cantSplit/>
          <w:trHeight w:val="0" w:hRule="auto"/>
        </w:trPr>
        <w:tc>
          <w:tcPr>
            <w:tcW w:w="254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Ellenőrzés típusa</w:t>
            </w:r>
          </w:p>
        </w:tc>
        <w:tc>
          <w:tcPr>
            <w:tcW w:w="1256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Ellenőri kapacitás 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revizori nap</w:t>
            </w:r>
          </w:p>
        </w:tc>
        <w:tc>
          <w:tcPr>
            <w:tcW w:w="5284" w:type="dxa"/>
            <w:gridSpan w:val="4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Db</w:t>
            </w:r>
          </w:p>
        </w:tc>
      </w:tr>
      <w:tr>
        <w:trPr>
          <w:cantSplit/>
          <w:trHeight w:val="0" w:hRule="auto"/>
        </w:trPr>
        <w:tc>
          <w:tcPr>
            <w:tcW w:w="254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/>
        </w:tc>
        <w:tc>
          <w:tcPr>
            <w:tcW w:w="1256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/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Magas prioritású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Közepes prioritású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Alacsony prioritású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Rendszerellenőrzés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8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Pénzügyi ellenőrzés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4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Szabályszerűségi ellenőrzés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11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Informatikai rendszer ellenőrzés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Megbízhatósági 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ellenőrzés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right"/>
            </w:pPr>
            <w:r/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Tanácsadás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5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right"/>
            </w:pPr>
            <w:r/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Továbbképzésre fenntartott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--------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-----------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Soron kívüli ellenőrzésre tervezett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4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/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</w:pPr>
            <w:r>
              <w:t>-----------</w:t>
            </w:r>
          </w:p>
        </w:tc>
      </w:tr>
      <w:tr>
        <w:trPr>
          <w:trHeight w:val="567" w:hRule="atLeast"/>
        </w:trPr>
        <w:tc>
          <w:tcPr>
            <w:tcW w:w="254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256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3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spacing/>
              <w:jc w:val="righ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55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>
      <w:pPr>
        <w:spacing/>
        <w:jc w:val="center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</w:r>
    </w:p>
    <w:p>
      <w:pPr>
        <w:ind w:right="112"/>
        <w:spacing/>
        <w:jc w:val="right"/>
        <w:rPr>
          <w:b/>
        </w:rPr>
      </w:pPr>
      <w:r>
        <w:rPr>
          <w:b/>
        </w:rPr>
        <w:t>3. számú melléklet</w:t>
      </w:r>
    </w:p>
    <w:p>
      <w:pPr>
        <w:spacing/>
        <w:jc w:val="right"/>
        <w:rPr>
          <w:b/>
        </w:rPr>
      </w:pPr>
      <w:r>
        <w:rPr>
          <w:b/>
        </w:rPr>
      </w:r>
    </w:p>
    <w:p>
      <w:pPr>
        <w:ind w:left="142"/>
        <w:spacing/>
        <w:jc w:val="right"/>
        <w:rPr>
          <w:b/>
        </w:rPr>
      </w:pP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  <w:t>KOCKÁZAT ELEMZÉSI ÖSSZESÍTŐ TÁBLÁZAT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Csorvás Város Önkormányzatának 2019. évi belső ellenőrzési munkatervéhez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</w:pP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</w:r>
      <w:r/>
    </w:p>
    <w:tbl>
      <w:tblPr>
        <w:name w:val="Táblázat3"/>
        <w:tabOrder w:val="0"/>
        <w:jc w:val="center"/>
        <w:tblInd w:w="0" w:type="dxa"/>
        <w:tblW w:w="13893" w:type="dxa"/>
      </w:tblPr>
      <w:tblGrid>
        <w:gridCol w:w="993"/>
        <w:gridCol w:w="3780"/>
        <w:gridCol w:w="2883"/>
        <w:gridCol w:w="2835"/>
        <w:gridCol w:w="3402"/>
      </w:tblGrid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 w:right="-108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37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  <w:rPr>
                <w:b/>
              </w:rPr>
            </w:pPr>
            <w:r>
              <w:rPr>
                <w:b/>
              </w:rPr>
              <w:t>A kockázati tényezők megnevezése</w:t>
            </w:r>
          </w:p>
        </w:tc>
        <w:tc>
          <w:tcPr>
            <w:tcW w:w="288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  <w:rPr>
                <w:b/>
              </w:rPr>
            </w:pPr>
            <w:r>
              <w:rPr>
                <w:b/>
              </w:rPr>
              <w:t>Valószínűség prioritása</w:t>
            </w:r>
          </w:p>
        </w:tc>
        <w:tc>
          <w:tcPr>
            <w:tcW w:w="283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  <w:rPr>
                <w:b/>
              </w:rPr>
            </w:pPr>
            <w:r>
              <w:rPr>
                <w:b/>
              </w:rPr>
              <w:t>Hatás prioritása</w:t>
            </w:r>
          </w:p>
        </w:tc>
        <w:tc>
          <w:tcPr>
            <w:tcW w:w="340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  <w:rPr>
                <w:b/>
              </w:rPr>
            </w:pPr>
            <w:r>
              <w:rPr>
                <w:b/>
              </w:rPr>
              <w:t>Összesített kockázati</w:t>
            </w:r>
          </w:p>
          <w:p>
            <w:pPr>
              <w:ind w:left="284"/>
              <w:spacing/>
              <w:jc w:val="center"/>
              <w:rPr>
                <w:b/>
              </w:rPr>
            </w:pPr>
            <w:r>
              <w:rPr>
                <w:b/>
              </w:rPr>
              <w:t>besorolása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1.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1679" w:hanging="1406"/>
            </w:pPr>
            <w:r>
              <w:t>Jogszabályi változások hatása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2.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both"/>
            </w:pPr>
            <w:r>
              <w:t>Bevételek realizálhatósági szintje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3.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Pénzügyi szabálytalanságok bekövetkezésének hatásai</w:t>
            </w:r>
          </w:p>
        </w:tc>
        <w:tc>
          <w:tcPr>
            <w:tcW w:w="288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4.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both"/>
            </w:pPr>
            <w:r>
              <w:t>Szervezeti változások hatásai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5.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both"/>
            </w:pPr>
            <w:r>
              <w:t>Belső szabályozás komplexitása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6.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both"/>
            </w:pPr>
            <w:r>
              <w:t xml:space="preserve">Kontrolltevékenységek működése 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7.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both"/>
            </w:pPr>
            <w:r>
              <w:t>Személyi változások hatásai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8.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Alkalmazott munkaerő képzettsége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9.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Tévedések bekövetkezése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alacsony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közepes</w:t>
            </w:r>
          </w:p>
        </w:tc>
      </w:tr>
      <w:tr>
        <w:trPr>
          <w:trHeight w:val="0" w:hRule="auto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10.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</w:pPr>
            <w:r>
              <w:t>Csalás, korrupció</w:t>
            </w:r>
          </w:p>
        </w:tc>
        <w:tc>
          <w:tcPr>
            <w:tcW w:w="288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alacsony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magas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4785207" protected="0"/>
          </w:tcPr>
          <w:p>
            <w:pPr>
              <w:ind w:left="284"/>
              <w:spacing/>
              <w:jc w:val="center"/>
            </w:pPr>
            <w:r>
              <w:t>alacsony</w:t>
            </w:r>
          </w:p>
        </w:tc>
      </w:tr>
    </w:tbl>
    <w:p>
      <w:pPr>
        <w:ind w:left="284"/>
      </w:pPr>
      <w:r/>
    </w:p>
    <w:p>
      <w:r/>
    </w:p>
    <w:p>
      <w:pPr>
        <w:tabs>
          <w:tab w:val="left" w:pos="6290" w:leader="none"/>
        </w:tabs>
      </w:pP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6"/>
      <w:footerReference w:type="default" r:id="rId17"/>
      <w:type w:val="nextPage"/>
      <w:pgSz w:h="11906" w:w="16838" w:orient="landscape"/>
      <w:pgMar w:left="1417" w:top="1417" w:right="1417" w:bottom="1417" w:footer="708"/>
      <w:paperSrc w:first="0" w:other="0"/>
      <w:pgNumType w:fmt="decimal"/>
      <w:tmGutter w:val="3"/>
      <w:mirrorMargins w:val="0"/>
      <w:tmSection w:h="-2"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  <w:ind w:right="360"/>
      <w:spacing/>
      <w:jc w:val="center"/>
    </w:pPr>
    <w:r>
      <w:rPr>
        <w:rStyle w:val="char2"/>
      </w:rPr>
    </w:r>
    <w:r>
      <w:rPr>
        <w:rStyle w:val="char2"/>
      </w:rPr>
      <w:fldChar w:fldCharType="begin"/>
      <w:instrText xml:space="preserve"> PAGE </w:instrText>
      <w:fldChar w:fldCharType="separate"/>
      <w:t>6</w:t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</w:pPr>
    <w:r>
      <w:rPr>
        <w:rStyle w:val="char2"/>
      </w:rPr>
      <w:tab/>
    </w:r>
    <w:r>
      <w:rPr>
        <w:rStyle w:val="char2"/>
      </w:rPr>
      <w:tab/>
    </w:r>
    <w:r>
      <w:rPr>
        <w:rStyle w:val="char2"/>
      </w:rPr>
      <w:tab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  <w:ind w:right="360"/>
      <w:spacing/>
      <w:jc w:val="center"/>
    </w:pPr>
    <w:r>
      <w:rPr>
        <w:rStyle w:val="char2"/>
      </w:rPr>
    </w:r>
    <w:r>
      <w:rPr>
        <w:rStyle w:val="char2"/>
      </w:rPr>
      <w:fldChar w:fldCharType="begin"/>
      <w:instrText xml:space="preserve"> PAGE </w:instrText>
      <w:fldChar w:fldCharType="separate"/>
      <w:t>8</w:t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  <w:spacing/>
      <w:jc w:val="center"/>
    </w:pPr>
    <w:r>
      <w:rPr>
        <w:rStyle w:val="char2"/>
      </w:rPr>
    </w:r>
    <w:r>
      <w:rPr>
        <w:rStyle w:val="char2"/>
      </w:rPr>
      <w:fldChar w:fldCharType="begin"/>
      <w:instrText xml:space="preserve"> PAGE </w:instrText>
      <w:fldChar w:fldCharType="separate"/>
      <w:t>7</w:t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  <w:ind w:right="360"/>
      <w:spacing/>
      <w:jc w:val="center"/>
    </w:pPr>
    <w:r>
      <w:rPr>
        <w:rStyle w:val="char2"/>
      </w:rPr>
    </w:r>
    <w:r>
      <w:rPr>
        <w:rStyle w:val="char2"/>
      </w:rPr>
      <w:fldChar w:fldCharType="begin"/>
      <w:instrText xml:space="preserve"> PAGE </w:instrText>
      <w:fldChar w:fldCharType="separate"/>
      <w:t>10</w:t>
      <w:fldChar w:fldCharType="end"/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Számozott lista 1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Számozott list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Számozott lista 3"/>
    <w:lvl w:ilvl="0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Számozott lista 4"/>
    <w:lvl w:ilvl="0">
      <w:numFmt w:val="bullet"/>
      <w:suff w:val="tab"/>
      <w:lvlText w:val="-"/>
      <w:lvlJc w:val="left"/>
      <w:pPr>
        <w:ind w:left="12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-"/>
      <w:lvlJc w:val="left"/>
      <w:pPr>
        <w:ind w:left="1020" w:hanging="0"/>
      </w:pPr>
      <w:rPr>
        <w:rFonts w:ascii="Times New Roman" w:hAnsi="Times New Roman" w:eastAsia="Times New Roman" w:cs="Times New Roman"/>
      </w:rPr>
    </w:lvl>
    <w:lvl w:ilvl="2">
      <w:numFmt w:val="bullet"/>
      <w:suff w:val="tab"/>
      <w:lvlText w:val=""/>
      <w:lvlJc w:val="left"/>
      <w:pPr>
        <w:ind w:left="17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4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6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Számozott lista 5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Számozott lista 6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Számozott lista 7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Számozott lista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Számozott lista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Számozott lista 10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Számozott lista 1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hybridMultilevel"/>
    <w:name w:val="Számozott lista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3">
    <w:multiLevelType w:val="hybridMultilevel"/>
    <w:name w:val="Számozott lista 13"/>
    <w:lvl w:ilvl="0">
      <w:numFmt w:val="bullet"/>
      <w:suff w:val="tab"/>
      <w:lvlText w:val=""/>
      <w:lvlJc w:val="left"/>
      <w:pPr>
        <w:ind w:left="1158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78" w:hanging="0"/>
      </w:pPr>
      <w:rPr>
        <w:rFonts w:ascii="Courier New" w:hAnsi="Courier New" w:cs="Tahoma"/>
      </w:rPr>
    </w:lvl>
    <w:lvl w:ilvl="2">
      <w:numFmt w:val="bullet"/>
      <w:suff w:val="tab"/>
      <w:lvlText w:val=""/>
      <w:lvlJc w:val="left"/>
      <w:pPr>
        <w:ind w:left="259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318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038" w:hanging="0"/>
      </w:pPr>
      <w:rPr>
        <w:rFonts w:ascii="Courier New" w:hAnsi="Courier New" w:cs="Tahoma"/>
      </w:rPr>
    </w:lvl>
    <w:lvl w:ilvl="5">
      <w:numFmt w:val="bullet"/>
      <w:suff w:val="tab"/>
      <w:lvlText w:val=""/>
      <w:lvlJc w:val="left"/>
      <w:pPr>
        <w:ind w:left="475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78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98" w:hanging="0"/>
      </w:pPr>
      <w:rPr>
        <w:rFonts w:ascii="Courier New" w:hAnsi="Courier New" w:cs="Tahoma"/>
      </w:rPr>
    </w:lvl>
    <w:lvl w:ilvl="8">
      <w:numFmt w:val="bullet"/>
      <w:suff w:val="tab"/>
      <w:lvlText w:val=""/>
      <w:lvlJc w:val="left"/>
      <w:pPr>
        <w:ind w:left="6918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Számozott lista 1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1265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25"/>
    </w:tmLastPosCaret>
    <w:tmLastPosAnchor>
      <w:tmLastPosPgfIdx w:val="0"/>
      <w:tmLastPosIdx w:val="0"/>
    </w:tmLastPosAnchor>
    <w:tmLastPosTblRect w:left="0" w:top="0" w:right="0" w:bottom="0"/>
  </w:tmLastPos>
  <w:tmAppRevision w:date="1544785207" w:val="944" w:fileVer="341" w:fileVer64="64" w:fileVerOS="4"/>
  <w:guidesAndGrid showGuides="1" lockGuides="0" snapToGuides="1" snapToPageMargins="0" snapToOtherObjects="1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b/>
      <w:bCs/>
      <w:sz w:val="26"/>
      <w:szCs w:val="26"/>
    </w:rPr>
  </w:style>
  <w:style w:type="paragraph" w:styleId="para2">
    <w:name w:val="heading 2"/>
    <w:qFormat/>
    <w:basedOn w:val="para0"/>
    <w:next w:val="para0"/>
    <w:pPr>
      <w:spacing/>
      <w:jc w:val="center"/>
      <w:keepNext/>
      <w:outlineLvl w:val="1"/>
    </w:pPr>
    <w:rPr>
      <w:b/>
      <w:bCs/>
      <w:sz w:val="22"/>
      <w:szCs w:val="22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b/>
      <w:bCs/>
      <w:sz w:val="20"/>
      <w:szCs w:val="20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6">
    <w:name w:val="Body Text Indent"/>
    <w:qFormat/>
    <w:basedOn w:val="para0"/>
    <w:pPr>
      <w:ind w:left="2880" w:hanging="2880"/>
    </w:pPr>
    <w:rPr>
      <w:sz w:val="20"/>
    </w:rPr>
  </w:style>
  <w:style w:type="paragraph" w:styleId="para7">
    <w:name w:val="Body Text"/>
    <w:qFormat/>
    <w:basedOn w:val="para0"/>
    <w:pPr>
      <w:spacing/>
      <w:jc w:val="center"/>
    </w:pPr>
    <w:rPr>
      <w:sz w:val="20"/>
    </w:rPr>
  </w:style>
  <w:style w:type="paragraph" w:styleId="para8">
    <w:name w:val="Body Text 2"/>
    <w:qFormat/>
    <w:basedOn w:val="para0"/>
    <w:pPr>
      <w:spacing w:after="120" w:line="480" w:lineRule="auto"/>
    </w:pPr>
    <w:rPr>
      <w:sz w:val="20"/>
    </w:rPr>
  </w:style>
  <w:style w:type="paragraph" w:styleId="para9">
    <w:name w:val="Footer"/>
    <w:qFormat/>
    <w:basedOn w:val="para0"/>
    <w:pPr>
      <w:tabs>
        <w:tab w:val="center" w:pos="4536" w:leader="none"/>
        <w:tab w:val="right" w:pos="9072" w:leader="none"/>
      </w:tabs>
    </w:pPr>
    <w:rPr>
      <w:sz w:val="20"/>
    </w:rPr>
  </w:style>
  <w:style w:type="paragraph" w:styleId="para10" w:customStyle="1">
    <w:name w:val="Char Char Char Char Char Char Char Char Char Char Char Char Char Char Char Char Char Char Char Char"/>
    <w:qFormat/>
    <w:basedOn w:val="para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para11">
    <w:name w:val="No Spacing"/>
    <w:qFormat/>
    <w:rPr>
      <w:rFonts w:ascii="Calibri" w:hAnsi="Calibri" w:cs="Calibri"/>
      <w:sz w:val="22"/>
      <w:szCs w:val="22"/>
      <w:lang w:val="en-us"/>
    </w:rPr>
  </w:style>
  <w:style w:type="paragraph" w:styleId="para12">
    <w:name w:val="List Paragraph"/>
    <w:qFormat/>
    <w:basedOn w:val="para0"/>
    <w:pPr>
      <w:ind w:left="720"/>
      <w:spacing w:after="200" w:line="276" w:lineRule="auto"/>
      <w:contextualSpacing/>
      <w:jc w:val="both"/>
    </w:pPr>
    <w:rPr>
      <w:rFonts w:ascii="Calibri" w:hAnsi="Calibri" w:cs="Calibri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>
    <w:name w:val="Page Number"/>
    <w:basedOn w:val="char0"/>
  </w:style>
  <w:style w:type="character" w:styleId="char3" w:customStyle="1">
    <w:name w:val="st"/>
    <w:basedOn w:val="char0"/>
  </w:style>
  <w:style w:type="character" w:styleId="char4">
    <w:name w:val="Emphasis"/>
    <w:basedOn w:val="char0"/>
    <w:rPr>
      <w:i/>
      <w:iCs/>
    </w:rPr>
  </w:style>
  <w:style w:type="character" w:styleId="char5" w:customStyle="1">
    <w:name w:val="Nincs térköz Char"/>
    <w:basedOn w:val="char0"/>
    <w:rPr>
      <w:rFonts w:ascii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b/>
      <w:bCs/>
      <w:sz w:val="26"/>
      <w:szCs w:val="26"/>
    </w:rPr>
  </w:style>
  <w:style w:type="paragraph" w:styleId="para2">
    <w:name w:val="heading 2"/>
    <w:qFormat/>
    <w:basedOn w:val="para0"/>
    <w:next w:val="para0"/>
    <w:pPr>
      <w:spacing/>
      <w:jc w:val="center"/>
      <w:keepNext/>
      <w:outlineLvl w:val="1"/>
    </w:pPr>
    <w:rPr>
      <w:b/>
      <w:bCs/>
      <w:sz w:val="22"/>
      <w:szCs w:val="22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b/>
      <w:bCs/>
      <w:sz w:val="20"/>
      <w:szCs w:val="20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6">
    <w:name w:val="Body Text Indent"/>
    <w:qFormat/>
    <w:basedOn w:val="para0"/>
    <w:pPr>
      <w:ind w:left="2880" w:hanging="2880"/>
    </w:pPr>
    <w:rPr>
      <w:sz w:val="20"/>
    </w:rPr>
  </w:style>
  <w:style w:type="paragraph" w:styleId="para7">
    <w:name w:val="Body Text"/>
    <w:qFormat/>
    <w:basedOn w:val="para0"/>
    <w:pPr>
      <w:spacing/>
      <w:jc w:val="center"/>
    </w:pPr>
    <w:rPr>
      <w:sz w:val="20"/>
    </w:rPr>
  </w:style>
  <w:style w:type="paragraph" w:styleId="para8">
    <w:name w:val="Body Text 2"/>
    <w:qFormat/>
    <w:basedOn w:val="para0"/>
    <w:pPr>
      <w:spacing w:after="120" w:line="480" w:lineRule="auto"/>
    </w:pPr>
    <w:rPr>
      <w:sz w:val="20"/>
    </w:rPr>
  </w:style>
  <w:style w:type="paragraph" w:styleId="para9">
    <w:name w:val="Footer"/>
    <w:qFormat/>
    <w:basedOn w:val="para0"/>
    <w:pPr>
      <w:tabs>
        <w:tab w:val="center" w:pos="4536" w:leader="none"/>
        <w:tab w:val="right" w:pos="9072" w:leader="none"/>
      </w:tabs>
    </w:pPr>
    <w:rPr>
      <w:sz w:val="20"/>
    </w:rPr>
  </w:style>
  <w:style w:type="paragraph" w:styleId="para10" w:customStyle="1">
    <w:name w:val="Char Char Char Char Char Char Char Char Char Char Char Char Char Char Char Char Char Char Char Char"/>
    <w:qFormat/>
    <w:basedOn w:val="para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para11">
    <w:name w:val="No Spacing"/>
    <w:qFormat/>
    <w:rPr>
      <w:rFonts w:ascii="Calibri" w:hAnsi="Calibri" w:cs="Calibri"/>
      <w:sz w:val="22"/>
      <w:szCs w:val="22"/>
      <w:lang w:val="en-us"/>
    </w:rPr>
  </w:style>
  <w:style w:type="paragraph" w:styleId="para12">
    <w:name w:val="List Paragraph"/>
    <w:qFormat/>
    <w:basedOn w:val="para0"/>
    <w:pPr>
      <w:ind w:left="720"/>
      <w:spacing w:after="200" w:line="276" w:lineRule="auto"/>
      <w:contextualSpacing/>
      <w:jc w:val="both"/>
    </w:pPr>
    <w:rPr>
      <w:rFonts w:ascii="Calibri" w:hAnsi="Calibri" w:cs="Calibri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>
    <w:name w:val="Page Number"/>
    <w:basedOn w:val="char0"/>
  </w:style>
  <w:style w:type="character" w:styleId="char3" w:customStyle="1">
    <w:name w:val="st"/>
    <w:basedOn w:val="char0"/>
  </w:style>
  <w:style w:type="character" w:styleId="char4">
    <w:name w:val="Emphasis"/>
    <w:basedOn w:val="char0"/>
    <w:rPr>
      <w:i/>
      <w:iCs/>
    </w:rPr>
  </w:style>
  <w:style w:type="character" w:styleId="char5" w:customStyle="1">
    <w:name w:val="Nincs térköz Char"/>
    <w:basedOn w:val="char0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KeresztesiEne</dc:creator>
  <cp:keywords/>
  <dc:description/>
  <cp:lastModifiedBy/>
  <cp:revision>10</cp:revision>
  <cp:lastPrinted>2013-07-16T08:02:00Z</cp:lastPrinted>
  <dcterms:created xsi:type="dcterms:W3CDTF">2018-12-08T17:21:00Z</dcterms:created>
  <dcterms:modified xsi:type="dcterms:W3CDTF">2018-12-14T11:00:07Z</dcterms:modified>
</cp:coreProperties>
</file>