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noProof w:val="1"/>
        </w:rPr>
      </w:pPr>
      <w:r>
        <w:rPr>
          <w:noProof/>
        </w:rPr>
        <w:drawing>
          <wp:anchor distT="0" distB="0" distL="114935" distR="114935" simplePos="0" relativeHeight="251658244" behindDoc="1" locked="0" layoutInCell="0" hidden="0" allowOverlap="1">
            <wp:simplePos x="0" y="0"/>
            <wp:positionH relativeFrom="column">
              <wp:posOffset>-640080</wp:posOffset>
            </wp:positionH>
            <wp:positionV relativeFrom="paragraph">
              <wp:posOffset>53975</wp:posOffset>
            </wp:positionV>
            <wp:extent cx="7190740" cy="1756410"/>
            <wp:effectExtent l="0" t="0" r="0" b="0"/>
            <wp:wrapNone/>
            <wp:docPr id="4" name="Kép4"/>
            <wp:cNvGraphicFramePr/>
            <a:graphic xmlns:a="http://schemas.openxmlformats.org/drawingml/2006/main">
              <a:graphicData uri="http://schemas.openxmlformats.org/drawingml/2006/picture">
                <pic:pic xmlns:pic="http://schemas.openxmlformats.org/drawingml/2006/picture">
                  <pic:nvPicPr>
                    <pic:cNvPr id="4" name="Kép4"/>
                    <pic:cNvPicPr>
                      <a:extLst>
                        <a:ext uri="smNativeData">
                          <sm:smNativeData xmlns:sm="smNativeData" val="SMDATA_16_zNkHWxMAAAAlAAAAEQAAAA0AAAAAAQAAAAEAAAABAAAAA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AAAAAAAAAAAAAAAAAAAAAIAAAAQ/P//AAAAAAIAAABVAAAAPCwAAM4KAAAAAAAAJAEAAOEFAAA="/>
                        </a:ext>
                      </a:extLst>
                    </pic:cNvPicPr>
                  </pic:nvPicPr>
                  <pic:blipFill>
                    <a:blip r:embed="rId8"/>
                    <a:stretch>
                      <a:fillRect/>
                    </a:stretch>
                  </pic:blipFill>
                  <pic:spPr>
                    <a:xfrm>
                      <a:off x="0" y="0"/>
                      <a:ext cx="7190740" cy="1756410"/>
                    </a:xfrm>
                    <a:prstGeom prst="rect">
                      <a:avLst/>
                    </a:prstGeom>
                    <a:solidFill>
                      <a:srgbClr val="FFFFFF"/>
                    </a:solidFill>
                    <a:ln w="12700">
                      <a:noFill/>
                    </a:ln>
                  </pic:spPr>
                </pic:pic>
              </a:graphicData>
            </a:graphic>
          </wp:anchor>
        </w:drawing>
      </w:r>
      <w:r>
        <w:rPr>
          <w:noProof w:val="1"/>
        </w:rPr>
      </w:r>
    </w:p>
    <w:p>
      <w:r/>
    </w:p>
    <w:p>
      <w:r/>
    </w:p>
    <w:p>
      <w:r/>
    </w:p>
    <w:p>
      <w:r/>
    </w:p>
    <w:p>
      <w:pPr>
        <w:pStyle w:val="para2"/>
        <w:ind w:left="1080"/>
        <w:spacing w:before="0" w:after="0"/>
        <w:jc w:val="center"/>
      </w:pPr>
      <w:r>
        <w:rPr>
          <w:rFonts w:ascii="DejaVu Serif" w:hAnsi="DejaVu Serif" w:cs="DejaVu Serif"/>
          <w:sz w:val="26"/>
          <w:szCs w:val="26"/>
        </w:rPr>
        <w:t>CSORVÁS VÁROS POLGÁRMESTERE</w:t>
      </w:r>
      <w:r/>
    </w:p>
    <w:p>
      <w:pPr>
        <w:pStyle w:val="para2"/>
        <w:ind w:left="1080"/>
        <w:spacing w:before="0" w:after="0"/>
        <w:jc w:val="center"/>
      </w:pPr>
      <w:r>
        <w:rPr>
          <w:rFonts w:ascii="DejaVu Serif" w:hAnsi="DejaVu Serif" w:cs="DejaVu Serif"/>
          <w:sz w:val="20"/>
          <w:szCs w:val="20"/>
        </w:rPr>
        <w:t>5920 Csorvás, Rákóczi u. 17. Tel: 66/258-001 e-mail: pmh@csorvas.hu</w:t>
      </w:r>
      <w:r/>
    </w:p>
    <w:p>
      <w:pPr>
        <w:spacing w:after="0" w:line="240" w:lineRule="auto"/>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ind w:firstLine="180"/>
        <w:spacing w:after="0" w:line="240" w:lineRule="auto"/>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ind w:firstLine="180"/>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Előterjesztés</w:t>
      </w:r>
    </w:p>
    <w:p>
      <w:pPr>
        <w:ind w:right="-290"/>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ind w:right="-290"/>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sz w:val="24"/>
          <w:szCs w:val="24"/>
          <w:lang w:eastAsia="hu-hu"/>
        </w:rPr>
        <w:t>Csorvás Város Önkormányzatának</w:t>
      </w:r>
      <w:r>
        <w:rPr>
          <w:rFonts w:ascii="Times New Roman" w:hAnsi="Times New Roman" w:cs="Times New Roman"/>
          <w:b/>
          <w:bCs/>
          <w:sz w:val="24"/>
          <w:szCs w:val="24"/>
        </w:rPr>
        <w:t xml:space="preserve"> Képviselő-testületéhez</w:t>
      </w:r>
    </w:p>
    <w:p>
      <w:pPr>
        <w:ind w:firstLine="180"/>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a településkép védelméről szóló önkormányzati rendelet megalkotására</w:t>
      </w:r>
    </w:p>
    <w:p>
      <w:pPr>
        <w:ind w:firstLine="180"/>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ind w:firstLine="180"/>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spacing w:after="0" w:line="240" w:lineRule="auto"/>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Tisztelt Képviselő-testület!</w:t>
      </w:r>
    </w:p>
    <w:p>
      <w:pPr>
        <w:ind w:left="57" w:right="43"/>
        <w:spacing w:after="195"/>
        <w:jc w:val="both"/>
        <w:rPr>
          <w:rStyle w:val="char1"/>
          <w:rFonts w:ascii="Times New Roman" w:hAnsi="Times New Roman" w:cs="Times New Roman"/>
          <w:sz w:val="24"/>
          <w:szCs w:val="24"/>
        </w:rPr>
      </w:pPr>
      <w:r>
        <w:rPr>
          <w:rStyle w:val="char1"/>
          <w:rFonts w:ascii="Times New Roman" w:hAnsi="Times New Roman" w:cs="Times New Roman"/>
          <w:sz w:val="24"/>
          <w:szCs w:val="24"/>
        </w:rPr>
      </w:r>
    </w:p>
    <w:p>
      <w:pPr>
        <w:ind w:left="57" w:right="43"/>
        <w:spacing w:after="195"/>
        <w:jc w:val="both"/>
        <w:rPr>
          <w:rFonts w:ascii="Times New Roman" w:hAnsi="Times New Roman" w:cs="Times New Roman"/>
          <w:sz w:val="24"/>
          <w:szCs w:val="24"/>
        </w:rPr>
      </w:pPr>
      <w:r>
        <w:rPr>
          <w:rStyle w:val="char1"/>
          <w:rFonts w:ascii="Times New Roman" w:hAnsi="Times New Roman" w:cs="Times New Roman"/>
          <w:bCs/>
          <w:sz w:val="24"/>
          <w:szCs w:val="24"/>
        </w:rPr>
        <w:t xml:space="preserve">A településkép védelméről szóló 2016. évi LXXIV. törvény 12. § (2) bekezdésének felhatalmazása alapján az önkormányzatok képviselő-testületének településképi rendeletben kell meghatározniuk a településképi követelményeket,  és a településkép védelmével kapcsolatos egyes szabályokat. A településfejlesztési koncepcióról, az integrált településfejlesztési stratégiáról és a településrendezési eszközökről, valamint egyes településrendezési sajátos jogintézményekről szóló 314/2012. (XI.8.) Korm. rendelet  (a továbbiakban: Korm. rendelet) 22. §-a a településképre vonatkozó általános szabályokról rendelkezik.  A Korm. rendeletben foglaltak alapján készült </w:t>
      </w:r>
      <w:r>
        <w:rPr>
          <w:rFonts w:ascii="Times New Roman" w:hAnsi="Times New Roman" w:cs="Times New Roman"/>
          <w:color w:val="000000"/>
          <w:sz w:val="24"/>
          <w:szCs w:val="24"/>
          <w:lang w:eastAsia="hu-hu"/>
        </w:rPr>
        <w:t xml:space="preserve">Csorvás </w:t>
      </w:r>
      <w:r>
        <w:rPr>
          <w:rFonts w:ascii="Times New Roman" w:hAnsi="Times New Roman" w:cs="Times New Roman"/>
          <w:sz w:val="24"/>
          <w:szCs w:val="24"/>
        </w:rPr>
        <w:t>Településképi Arculati Kézikönyve, melyet</w:t>
      </w:r>
      <w:r>
        <w:rPr>
          <w:rFonts w:ascii="Times New Roman" w:hAnsi="Times New Roman" w:cs="Times New Roman"/>
          <w:color w:val="000000"/>
          <w:sz w:val="24"/>
          <w:szCs w:val="24"/>
          <w:lang w:eastAsia="hu-hu"/>
        </w:rPr>
        <w:t xml:space="preserve"> a Képviselő-testület a közelmúltban fogadott el. A Kézikönyvet </w:t>
      </w:r>
      <w:r>
        <w:rPr>
          <w:rFonts w:ascii="Times New Roman" w:hAnsi="Times New Roman" w:cs="Times New Roman"/>
          <w:sz w:val="24"/>
          <w:szCs w:val="24"/>
        </w:rPr>
        <w:t>Molnár Zoltán Gyula főépítész közreműködésével az M L R Studio Kft. állította össze.  Az elkészült munka szemléletformáló célt szolgál, a településképi jellemzők bemutatásának és minőségi formálásának eszköze, amely feltárja és ismerteti a településen belül jól elkülönülő egyes településrészek arculati jellemzőit és értékeit, továbbá javaslatot tesz a településképhez illeszkedő építészeti elemek alkalmazására.</w:t>
      </w:r>
    </w:p>
    <w:p>
      <w:pPr>
        <w:ind w:right="-108"/>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A településkép védelméről szóló önkormányzati rendelet tervezetét  szintén az M.L.R  Stúdió Kft készítette el. </w:t>
      </w:r>
      <w:r>
        <w:rPr>
          <w:rFonts w:ascii="Times New Roman" w:hAnsi="Times New Roman" w:cs="Times New Roman"/>
          <w:bCs/>
          <w:sz w:val="24"/>
          <w:szCs w:val="24"/>
        </w:rPr>
      </w:r>
    </w:p>
    <w:p>
      <w:pPr>
        <w:pStyle w:val="para1"/>
        <w:ind w:right="-108"/>
        <w:spacing w:before="0" w:after="0" w:beforeAutospacing="0" w:afterAutospacing="0"/>
        <w:jc w:val="both"/>
      </w:pPr>
      <w:r>
        <w:t>A településképi rendelet állapítja meg:</w:t>
      </w:r>
    </w:p>
    <w:p>
      <w:pPr>
        <w:pStyle w:val="para1"/>
        <w:ind w:right="-108" w:firstLine="240"/>
        <w:spacing w:before="0" w:after="0" w:beforeAutospacing="0" w:afterAutospacing="0"/>
        <w:jc w:val="both"/>
      </w:pPr>
      <w:r>
        <w:rPr>
          <w:i/>
          <w:iCs/>
        </w:rPr>
        <w:t xml:space="preserve">a) </w:t>
      </w:r>
      <w:r>
        <w:t>a helyi építészeti örökség területi és egyedi védelmét (a továbbiakban: helyi védelem), illetve a védelem megszüntetését,</w:t>
      </w:r>
    </w:p>
    <w:p>
      <w:pPr>
        <w:pStyle w:val="para1"/>
        <w:ind w:right="-108" w:firstLine="240"/>
        <w:spacing w:before="0" w:after="0" w:beforeAutospacing="0" w:afterAutospacing="0"/>
        <w:jc w:val="both"/>
      </w:pPr>
      <w:r>
        <w:rPr>
          <w:i/>
          <w:iCs/>
        </w:rPr>
        <w:t xml:space="preserve">b) </w:t>
      </w:r>
      <w:r>
        <w:t>a településszerkezet, településkarakter, tájképi elem és egyéb helyi adottság alapján a településképi szempontból meghatározó területeket,</w:t>
      </w:r>
    </w:p>
    <w:p>
      <w:pPr>
        <w:pStyle w:val="para1"/>
        <w:ind w:right="-108" w:firstLine="240"/>
        <w:spacing w:before="0" w:after="0" w:beforeAutospacing="0" w:afterAutospacing="0"/>
        <w:jc w:val="both"/>
      </w:pPr>
      <w:r>
        <w:rPr>
          <w:i/>
          <w:iCs/>
        </w:rPr>
        <w:t xml:space="preserve">c) </w:t>
      </w:r>
      <w:r>
        <w:t xml:space="preserve">a településképi követelményeket, </w:t>
      </w:r>
    </w:p>
    <w:p>
      <w:pPr>
        <w:pStyle w:val="para1"/>
        <w:ind w:right="-108" w:firstLine="240"/>
        <w:spacing w:before="0" w:after="0" w:beforeAutospacing="0" w:afterAutospacing="0"/>
        <w:jc w:val="both"/>
      </w:pPr>
      <w:r>
        <w:t>d) a reklámokra-, valamint a reklámhordozókra, cégérekre, továbbá az egyéb műszaki berendezésekre vonatkozó követelményeket,</w:t>
      </w:r>
    </w:p>
    <w:p>
      <w:pPr>
        <w:pStyle w:val="para1"/>
        <w:ind w:right="-108" w:firstLine="240"/>
        <w:spacing w:before="0" w:after="0" w:beforeAutospacing="0" w:afterAutospacing="0"/>
        <w:jc w:val="both"/>
      </w:pPr>
      <w:r>
        <w:t>e) a településképi véleményezési-, bejelentési-, és kötelezési eljárás szabályait.</w:t>
      </w:r>
    </w:p>
    <w:p>
      <w:pPr>
        <w:pStyle w:val="para1"/>
        <w:ind w:right="-108"/>
        <w:spacing w:before="0" w:after="0" w:beforeAutospacing="0" w:afterAutospacing="0"/>
        <w:jc w:val="both"/>
      </w:pPr>
      <w:r/>
    </w:p>
    <w:p>
      <w:pPr>
        <w:ind w:right="-108"/>
        <w:spacing w:after="0" w:line="240" w:lineRule="auto"/>
        <w:jc w:val="both"/>
        <w:rPr>
          <w:rFonts w:ascii="Times New Roman" w:hAnsi="Times New Roman" w:cs="Times New Roman"/>
        </w:rPr>
      </w:pPr>
      <w:r>
        <w:rPr>
          <w:rFonts w:ascii="Times New Roman" w:hAnsi="Times New Roman" w:cs="Times New Roman"/>
        </w:rPr>
      </w:r>
    </w:p>
    <w:p>
      <w:pPr>
        <w:ind w:right="-108"/>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rPr>
        <w:t xml:space="preserve">A rendelet tervezetet  </w:t>
      </w:r>
      <w:r>
        <w:rPr>
          <w:rFonts w:ascii="Times New Roman" w:hAnsi="Times New Roman" w:cs="Times New Roman"/>
          <w:bCs/>
          <w:color w:val="000000"/>
          <w:sz w:val="24"/>
          <w:szCs w:val="24"/>
          <w:lang w:eastAsia="hu-hu"/>
        </w:rPr>
        <w:t>Csorvás Város Önkormányzata</w:t>
      </w:r>
      <w:r>
        <w:rPr>
          <w:rFonts w:ascii="Times New Roman" w:hAnsi="Times New Roman" w:cs="Times New Roman"/>
          <w:bCs/>
          <w:sz w:val="24"/>
          <w:szCs w:val="24"/>
        </w:rPr>
        <w:t xml:space="preserve"> Pénzügyi-, Gazdasági- és Városfejlesztési</w:t>
      </w:r>
      <w:r>
        <w:rPr>
          <w:rFonts w:ascii="Times New Roman" w:hAnsi="Times New Roman" w:cs="Times New Roman"/>
        </w:rPr>
        <w:t xml:space="preserve"> Bizottsága a 2018. januári ülésén már véleményezte. Ezt követően a rendelet-tervezet feltöltöttük a Lechner Tudásközpont egyeztető felületére, ahol a Korm. rendelet szerinti véleményezési jogkörben eljáró hatóságok - </w:t>
      </w:r>
      <w:r>
        <w:rPr>
          <w:rFonts w:ascii="Times New Roman" w:hAnsi="Times New Roman" w:eastAsia="PD4MLArialMT" w:cs="Times New Roman"/>
          <w:sz w:val="24"/>
          <w:szCs w:val="24"/>
        </w:rPr>
        <w:t xml:space="preserve"> a kulturális örökség védelméért felelős Miniszterelnökséget vezető miniszter, az állami főépítészi hatáskörében eljáró  </w:t>
      </w:r>
      <w:r>
        <w:rPr>
          <w:rFonts w:ascii="Times New Roman" w:hAnsi="Times New Roman" w:cs="Times New Roman"/>
          <w:sz w:val="24"/>
          <w:szCs w:val="24"/>
        </w:rPr>
        <w:t xml:space="preserve">Békés Megyei Kormányhivatal, a Nemzeti Média- és Hírközlési Hatóság,  a Körös-Maros Nemzeti Park Igazgatósága - véleményezhették azt. A  közölt vélemények figyelembe vételével módosított a rendelet-tervezetet terjesztem most a Képviselő-testület elé. </w:t>
      </w:r>
      <w:r>
        <w:rPr>
          <w:rFonts w:ascii="Times New Roman" w:hAnsi="Times New Roman" w:cs="Times New Roman"/>
          <w:color w:val="000000"/>
          <w:sz w:val="24"/>
          <w:szCs w:val="24"/>
          <w:lang w:eastAsia="hu-hu"/>
        </w:rPr>
      </w:r>
    </w:p>
    <w:p>
      <w:pPr>
        <w:pStyle w:val="para1"/>
        <w:ind w:right="-108"/>
        <w:spacing w:before="0" w:after="0" w:beforeAutospacing="0" w:afterAutospacing="0"/>
        <w:jc w:val="both"/>
        <w:rPr>
          <w:bCs/>
        </w:rPr>
      </w:pPr>
      <w:r>
        <w:rPr>
          <w:color w:val="000000"/>
        </w:rPr>
        <w:t xml:space="preserve">Mivel a településkép védelméről szóló önkormányzati rendelet-tervezet tartalmazza  a </w:t>
      </w:r>
      <w:r>
        <w:t xml:space="preserve">reklámokra-, valamint a reklámhordozókra, a cégérekre, továbbá az egyéb műszaki berendezésekre vonatkozó követelményeket, ezért annak </w:t>
      </w:r>
      <w:r>
        <w:rPr>
          <w:color w:val="000000"/>
        </w:rPr>
        <w:t xml:space="preserve">hatálybalépésével együtt hatályon kívül kell helyezni </w:t>
      </w:r>
      <w:r>
        <w:rPr>
          <w:bCs/>
        </w:rPr>
      </w:r>
      <w:bookmarkStart w:id="0" w:name="_GoBack"/>
      <w:bookmarkEnd w:id="0"/>
      <w:r>
        <w:rPr>
          <w:bCs/>
        </w:rPr>
        <w:t>Csorvás Város Önkormányzata Képviselő testületének a reklámok, reklámhordozók és cégérek elhelyezésének, alkalmazásának követelményeiről, feltételeiről és tilalmáról, valamint a településképi bejelentési eljárásról szóló 25/2017. (XI.9.)önkormányzati  rendeletet.</w:t>
      </w:r>
    </w:p>
    <w:p>
      <w:pPr>
        <w:pStyle w:val="para1"/>
        <w:ind w:right="-108"/>
        <w:spacing w:before="0" w:after="0" w:beforeAutospacing="0" w:afterAutospacing="0"/>
        <w:jc w:val="both"/>
        <w:rPr>
          <w:bCs/>
        </w:rPr>
      </w:pPr>
      <w:r>
        <w:rPr>
          <w:bCs/>
        </w:rPr>
      </w:r>
    </w:p>
    <w:p>
      <w:pPr>
        <w:pStyle w:val="para1"/>
        <w:ind w:right="-108"/>
        <w:spacing w:before="0" w:after="0" w:beforeAutospacing="0" w:afterAutospacing="0"/>
        <w:jc w:val="both"/>
        <w:rPr>
          <w:bCs/>
        </w:rPr>
      </w:pPr>
      <w:r>
        <w:rPr>
          <w:bCs/>
        </w:rPr>
        <w:t xml:space="preserve">A településképi rendeletben kell szabályozni </w:t>
      </w:r>
      <w:r>
        <w:t xml:space="preserve"> a helyi építészeti örökség területi és egyedi védelmét, illetve a védelem megszüntetését, ezért ezekre vonatkozó rendelkezéseket más helyi jogszabály, jelesül a jelenleg hatályos,  a természeti és építészeti érték helyi védelméről szóló  15/2011. (X.28.) önkormányzati rendelet ( a továbbiakban: önkormányzati  rendelet) nem tartalmazhat. </w:t>
      </w:r>
      <w:r>
        <w:rPr>
          <w:bCs/>
        </w:rPr>
        <w:t xml:space="preserve">Javasoljuk az önkormányzati rendelet hatályon kívül helyezését, és egy új rendelet megalkotását a természeti értékek helyi védelméről. </w:t>
      </w:r>
    </w:p>
    <w:p>
      <w:pPr>
        <w:pStyle w:val="para1"/>
        <w:ind w:right="-108"/>
        <w:spacing w:before="0" w:after="0" w:beforeAutospacing="0" w:afterAutospacing="0"/>
        <w:jc w:val="both"/>
        <w:rPr>
          <w:bCs/>
        </w:rPr>
      </w:pPr>
      <w:r>
        <w:rPr>
          <w:bCs/>
        </w:rPr>
      </w:r>
    </w:p>
    <w:p>
      <w:pPr>
        <w:pStyle w:val="para1"/>
        <w:ind w:right="-108"/>
        <w:spacing w:before="0" w:after="0" w:beforeAutospacing="0" w:afterAutospacing="0"/>
        <w:jc w:val="both"/>
        <w:rPr>
          <w:bCs/>
        </w:rPr>
      </w:pPr>
      <w:r>
        <w:rPr>
          <w:bCs/>
        </w:rPr>
        <w:t>Hatályon kívül kell helyezni továbbá a nagyközség  helyi építési szabályzatáról szóló 7/2004.(II.24.) önkormányzati rendelet egyes rendelkezéseit.</w:t>
      </w:r>
    </w:p>
    <w:p>
      <w:pPr>
        <w:pStyle w:val="para1"/>
        <w:ind w:right="-108"/>
        <w:spacing w:before="0" w:after="0" w:beforeAutospacing="0" w:afterAutospacing="0"/>
        <w:rPr>
          <w:bCs/>
        </w:rPr>
      </w:pPr>
      <w:r>
        <w:rPr>
          <w:bCs/>
        </w:rPr>
      </w:r>
    </w:p>
    <w:p>
      <w:pPr>
        <w:ind w:right="-108"/>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sz w:val="24"/>
          <w:szCs w:val="24"/>
        </w:rPr>
        <w:t>Kérem a Tisztelt Képviselő-testületet, hogy vitassák meg az előterjesztésben foglaltakat, a rendelet-tervezeteket, és vita után alkossák meg a településkép védelméről, valamint a természeti értékek helyi védelméről szóló önkormányzati rendeletet.</w:t>
      </w:r>
      <w:r>
        <w:rPr>
          <w:rFonts w:ascii="Times New Roman" w:hAnsi="Times New Roman" w:cs="Times New Roman"/>
          <w:color w:val="000000"/>
          <w:sz w:val="24"/>
          <w:szCs w:val="24"/>
          <w:lang w:eastAsia="hu-hu"/>
        </w:rPr>
      </w:r>
    </w:p>
    <w:p>
      <w:pPr>
        <w:ind w:right="-108"/>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pStyle w:val="para1"/>
        <w:ind w:right="-108"/>
        <w:spacing w:before="0" w:after="0" w:beforeAutospacing="0" w:afterAutospacing="0"/>
      </w:pPr>
      <w:r/>
    </w:p>
    <w:p>
      <w:pPr>
        <w:ind w:right="-108"/>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Csorvás, 2018. május 17.</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b/>
        <w:tab/>
        <w:tab/>
        <w:tab/>
        <w:tab/>
        <w:tab/>
        <w:tab/>
        <w:t xml:space="preserve">Baráth Lajos </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b/>
        <w:tab/>
        <w:tab/>
        <w:tab/>
        <w:tab/>
        <w:tab/>
        <w:tab/>
        <w:t>polgármester</w:t>
      </w:r>
    </w:p>
    <w:p>
      <w:r/>
    </w:p>
    <w:p>
      <w:r/>
    </w:p>
    <w:p>
      <w:r/>
    </w:p>
    <w:p>
      <w:r/>
    </w:p>
    <w:p>
      <w:r/>
    </w:p>
    <w:p>
      <w:r/>
    </w:p>
    <w:p>
      <w:r/>
    </w:p>
    <w:p>
      <w:r/>
    </w:p>
    <w:p>
      <w:r/>
    </w:p>
    <w:p>
      <w:r/>
    </w:p>
    <w:p>
      <w:pPr>
        <w:spacing w:after="0" w:line="240" w:lineRule="auto"/>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Csorvás Város Önkormányzata Képviselő-testületének</w:t>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 xml:space="preserve">….…/2017. (……...) </w:t>
      </w:r>
    </w:p>
    <w:p>
      <w:pPr>
        <w:spacing w:after="0" w:line="240" w:lineRule="auto"/>
        <w:jc w:val="center"/>
        <w:rPr>
          <w:rFonts w:ascii="Times New Roman" w:hAnsi="Times New Roman" w:cs="Times New Roman"/>
          <w:color w:val="000000"/>
          <w:sz w:val="24"/>
          <w:szCs w:val="24"/>
          <w:lang w:eastAsia="hu-hu"/>
        </w:rPr>
      </w:pPr>
      <w:r>
        <w:rPr>
          <w:rFonts w:ascii="Times New Roman" w:hAnsi="Times New Roman" w:cs="Times New Roman"/>
          <w:b/>
          <w:bCs/>
          <w:color w:val="000000"/>
          <w:sz w:val="24"/>
          <w:szCs w:val="24"/>
          <w:lang w:eastAsia="hu-hu"/>
        </w:rPr>
        <w:t>önkormányzati rendelete</w:t>
      </w:r>
      <w:r>
        <w:rPr>
          <w:rFonts w:ascii="Times New Roman" w:hAnsi="Times New Roman" w:cs="Times New Roman"/>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a településkép védelméről</w:t>
      </w:r>
    </w:p>
    <w:p>
      <w:pPr>
        <w:spacing w:after="0" w:line="240" w:lineRule="auto"/>
        <w:jc w:val="center"/>
        <w:rPr>
          <w:rFonts w:ascii="Times New Roman" w:hAnsi="Times New Roman" w:cs="Times New Roman"/>
          <w:color w:val="000000"/>
          <w:sz w:val="24"/>
          <w:szCs w:val="24"/>
          <w:lang w:eastAsia="hu-hu"/>
        </w:rPr>
      </w:pPr>
      <w:r>
        <w:rPr>
          <w:rFonts w:ascii="Times New Roman" w:hAnsi="Times New Roman" w:cs="Times New Roman"/>
          <w:b/>
          <w:bCs/>
          <w:color w:val="000000"/>
          <w:sz w:val="24"/>
          <w:szCs w:val="24"/>
          <w:lang w:eastAsia="hu-hu"/>
        </w:rPr>
        <w:t>(tervezet)</w:t>
      </w:r>
      <w:r>
        <w:rPr>
          <w:rFonts w:ascii="Times New Roman" w:hAnsi="Times New Roman" w:cs="Times New Roman"/>
          <w:color w:val="000000"/>
          <w:sz w:val="24"/>
          <w:szCs w:val="24"/>
          <w:lang w:eastAsia="hu-hu"/>
        </w:rPr>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 xml:space="preserve">Csorvás Város Önkormányzatának Képviselő-testülete a településkép védelméről szóló 2016. évi LXXIV. törvény 2. § (2) bekezdésében kapott felhatalmazás alapján, a </w:t>
      </w:r>
      <w:r>
        <w:rPr>
          <w:rFonts w:ascii="Times New Roman" w:hAnsi="Times New Roman" w:cs="Times New Roman"/>
          <w:sz w:val="24"/>
          <w:szCs w:val="24"/>
        </w:rPr>
        <w:t>Magyarország helyi önkormányzatairól szóló 2011. évi CLXXXIX. törvény 13. § (1) bekezdés 1. pontjában</w:t>
      </w:r>
      <w:r>
        <w:rPr>
          <w:rFonts w:ascii="Times New Roman" w:hAnsi="Times New Roman" w:cs="Times New Roman"/>
          <w:sz w:val="24"/>
          <w:szCs w:val="24"/>
          <w:lang w:eastAsia="hu-hu"/>
        </w:rPr>
        <w:t xml:space="preserve"> meghatározott feladatkörében</w:t>
      </w:r>
      <w:r>
        <w:rPr>
          <w:rFonts w:ascii="Times New Roman" w:hAnsi="Times New Roman" w:cs="Times New Roman"/>
          <w:sz w:val="24"/>
          <w:szCs w:val="24"/>
        </w:rPr>
        <w:t xml:space="preserve">, tekintettel az épített környezet alakításáról és védelméről szóló 1997. évi LXXVIII. törvény 57. § (2) -(3) bekezdésére, </w:t>
      </w:r>
      <w:r>
        <w:rPr>
          <w:rFonts w:ascii="Times New Roman" w:hAnsi="Times New Roman" w:eastAsia="PD4MLArialMT" w:cs="Times New Roman"/>
          <w:sz w:val="24"/>
          <w:szCs w:val="24"/>
        </w:rPr>
        <w:t>a településfejlesztési koncepcióról, az integrált településfejlesztési stratégiáról és a település-rendezési eszközökről, valamint egyes településrendezési sajátos jogintézményekről szóló</w:t>
      </w:r>
      <w:r>
        <w:rPr>
          <w:rFonts w:ascii="Times New Roman" w:hAnsi="Times New Roman" w:cs="Times New Roman"/>
          <w:sz w:val="24"/>
          <w:szCs w:val="24"/>
        </w:rPr>
        <w:t xml:space="preserve"> </w:t>
      </w:r>
      <w:r>
        <w:rPr>
          <w:rFonts w:ascii="Times New Roman" w:hAnsi="Times New Roman" w:eastAsia="PD4MLArialMT" w:cs="Times New Roman"/>
          <w:sz w:val="24"/>
          <w:szCs w:val="24"/>
        </w:rPr>
        <w:t xml:space="preserve">314/2012. (XI. 8.) Korm. rendelet </w:t>
      </w:r>
      <w:r>
        <w:rPr>
          <w:rFonts w:ascii="Times New Roman" w:hAnsi="Times New Roman" w:eastAsia="PD4MLArialMT" w:cs="Times New Roman"/>
          <w:i/>
          <w:iCs/>
          <w:sz w:val="24"/>
          <w:szCs w:val="24"/>
        </w:rPr>
        <w:t>41. § (2) bekezdés b) pontja</w:t>
      </w:r>
      <w:r>
        <w:rPr>
          <w:rFonts w:ascii="Times New Roman" w:hAnsi="Times New Roman" w:eastAsia="PD4MLArialMT" w:cs="Times New Roman"/>
          <w:sz w:val="24"/>
          <w:szCs w:val="24"/>
        </w:rPr>
        <w:t xml:space="preserve"> szerint a 9. mellékletben biztosított véleményezési jogkörében eljáró, a kulturális örökség védelméért felelős Miniszterelnökséget vezető miniszter, az állami főépítészi hatáskörében eljáró  </w:t>
      </w:r>
      <w:r>
        <w:rPr>
          <w:rFonts w:ascii="Times New Roman" w:hAnsi="Times New Roman" w:cs="Times New Roman"/>
          <w:sz w:val="24"/>
          <w:szCs w:val="24"/>
        </w:rPr>
        <w:t>Békés Megyei Kormányhivatal, a Nemzeti Média- és Hírközlési Hatóság,  a Körös-Maros Nemzeti Park Igazgatósága</w:t>
      </w:r>
      <w:r>
        <w:rPr>
          <w:rFonts w:ascii="Times New Roman" w:hAnsi="Times New Roman" w:cs="Times New Roman"/>
          <w:sz w:val="24"/>
          <w:szCs w:val="24"/>
          <w:lang w:eastAsia="hu-hu"/>
        </w:rPr>
        <w:t xml:space="preserve"> </w:t>
      </w:r>
      <w:r>
        <w:rPr>
          <w:rFonts w:ascii="Times New Roman" w:hAnsi="Times New Roman" w:cs="Times New Roman"/>
          <w:sz w:val="24"/>
          <w:szCs w:val="24"/>
        </w:rPr>
        <w:t xml:space="preserve">véleményének kikérésével </w:t>
      </w:r>
      <w:r>
        <w:rPr>
          <w:rFonts w:ascii="Times New Roman" w:hAnsi="Times New Roman" w:cs="Times New Roman"/>
          <w:sz w:val="24"/>
          <w:szCs w:val="24"/>
          <w:lang w:eastAsia="hu-hu"/>
        </w:rPr>
        <w:t>a következőket rendeli el:</w:t>
      </w:r>
    </w:p>
    <w:p>
      <w:pPr>
        <w:ind w:firstLine="180"/>
        <w:spacing w:after="0" w:line="240" w:lineRule="auto"/>
        <w:jc w:val="both"/>
        <w:rPr>
          <w:rFonts w:ascii="Times New Roman" w:hAnsi="Times New Roman" w:cs="Times New Roman"/>
          <w:b/>
          <w:bCs/>
          <w:i/>
          <w:iCs/>
          <w:color w:val="000000"/>
          <w:sz w:val="24"/>
          <w:szCs w:val="24"/>
          <w:lang w:eastAsia="hu-hu"/>
        </w:rPr>
      </w:pPr>
      <w:r>
        <w:rPr>
          <w:rFonts w:ascii="Times New Roman" w:hAnsi="Times New Roman" w:cs="Times New Roman"/>
          <w:b/>
          <w:bCs/>
          <w:i/>
          <w:iCs/>
          <w:color w:val="000000"/>
          <w:sz w:val="24"/>
          <w:szCs w:val="24"/>
          <w:lang w:eastAsia="hu-hu"/>
        </w:rPr>
      </w:r>
    </w:p>
    <w:p>
      <w:pPr>
        <w:ind w:firstLine="180"/>
        <w:spacing w:after="0" w:line="240" w:lineRule="auto"/>
        <w:jc w:val="both"/>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ind w:firstLine="180"/>
        <w:spacing w:after="0" w:line="240" w:lineRule="auto"/>
        <w:jc w:val="center"/>
        <w:rPr>
          <w:rFonts w:ascii="Times New Roman" w:hAnsi="Times New Roman" w:cs="Times New Roman"/>
          <w:color w:val="000000"/>
          <w:sz w:val="24"/>
          <w:szCs w:val="24"/>
          <w:lang w:eastAsia="hu-hu"/>
        </w:rPr>
      </w:pPr>
      <w:r>
        <w:rPr>
          <w:rFonts w:ascii="Times New Roman" w:hAnsi="Times New Roman" w:cs="Times New Roman"/>
          <w:b/>
          <w:bCs/>
          <w:color w:val="000000"/>
          <w:sz w:val="24"/>
          <w:szCs w:val="24"/>
          <w:lang w:eastAsia="hu-hu"/>
        </w:rPr>
        <w:t>I. FEJEZET</w:t>
      </w:r>
      <w:r>
        <w:rPr>
          <w:rFonts w:ascii="Times New Roman" w:hAnsi="Times New Roman" w:cs="Times New Roman"/>
          <w:color w:val="000000"/>
          <w:sz w:val="24"/>
          <w:szCs w:val="24"/>
          <w:lang w:eastAsia="hu-hu"/>
        </w:rPr>
      </w:r>
    </w:p>
    <w:p>
      <w:pPr>
        <w:ind w:firstLine="180"/>
        <w:spacing w:after="0" w:line="240" w:lineRule="auto"/>
        <w:jc w:val="center"/>
        <w:rPr>
          <w:rFonts w:ascii="Times New Roman" w:hAnsi="Times New Roman" w:cs="Times New Roman"/>
          <w:color w:val="000000"/>
          <w:sz w:val="24"/>
          <w:szCs w:val="24"/>
          <w:lang w:eastAsia="hu-hu"/>
        </w:rPr>
      </w:pPr>
      <w:r>
        <w:rPr>
          <w:rFonts w:ascii="Times New Roman" w:hAnsi="Times New Roman" w:cs="Times New Roman"/>
          <w:b/>
          <w:bCs/>
          <w:color w:val="000000"/>
          <w:sz w:val="24"/>
          <w:szCs w:val="24"/>
          <w:lang w:eastAsia="hu-hu"/>
        </w:rPr>
        <w:t>BEVEZETŐ RENDELKEZÉSEK</w:t>
      </w:r>
      <w:r>
        <w:rPr>
          <w:rFonts w:ascii="Times New Roman" w:hAnsi="Times New Roman" w:cs="Times New Roman"/>
          <w:color w:val="000000"/>
          <w:sz w:val="24"/>
          <w:szCs w:val="24"/>
          <w:lang w:eastAsia="hu-hu"/>
        </w:rPr>
      </w:r>
    </w:p>
    <w:p>
      <w:pPr>
        <w:ind w:firstLine="180"/>
        <w:spacing w:after="0" w:line="240" w:lineRule="auto"/>
        <w:jc w:val="center"/>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A rendelet célja, hatálya és értelmező rendelkezések</w:t>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1. §</w:t>
      </w:r>
    </w:p>
    <w:p>
      <w:pPr>
        <w:spacing w:after="0" w:line="240" w:lineRule="auto"/>
        <w:jc w:val="both"/>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ind w:left="360" w:hanging="360"/>
        <w:spacing/>
        <w:jc w:val="both"/>
        <w:rPr>
          <w:rFonts w:ascii="Times New Roman" w:hAnsi="Times New Roman" w:cs="Times New Roman"/>
          <w:i/>
          <w:iCs/>
          <w:sz w:val="24"/>
          <w:szCs w:val="24"/>
        </w:rPr>
      </w:pPr>
      <w:r>
        <w:rPr>
          <w:rFonts w:ascii="Times New Roman" w:hAnsi="Times New Roman" w:cs="Times New Roman"/>
          <w:color w:val="000000"/>
          <w:sz w:val="24"/>
          <w:szCs w:val="24"/>
          <w:lang w:eastAsia="hu-hu"/>
        </w:rPr>
        <w:t>(1)</w:t>
        <w:tab/>
        <w:t xml:space="preserve">A rendelet célja </w:t>
      </w:r>
      <w:r>
        <w:rPr>
          <w:rFonts w:ascii="Times New Roman" w:hAnsi="Times New Roman" w:cs="Times New Roman"/>
          <w:sz w:val="24"/>
          <w:szCs w:val="24"/>
          <w:lang w:eastAsia="hu-hu"/>
        </w:rPr>
        <w:t>Csorvás Város</w:t>
      </w:r>
      <w:r>
        <w:rPr>
          <w:rFonts w:ascii="Times New Roman" w:hAnsi="Times New Roman" w:cs="Times New Roman"/>
          <w:color w:val="000000"/>
          <w:sz w:val="24"/>
          <w:szCs w:val="24"/>
          <w:lang w:eastAsia="hu-hu"/>
        </w:rPr>
        <w:t xml:space="preserve"> </w:t>
      </w:r>
      <w:r>
        <w:rPr>
          <w:rFonts w:ascii="Times New Roman" w:hAnsi="Times New Roman" w:cs="Times New Roman"/>
          <w:color w:val="000000"/>
          <w:sz w:val="24"/>
          <w:szCs w:val="24"/>
        </w:rPr>
        <w:t>építészeti, településképi, illetve természeti értékeinek védelme és igényes alakítása érdekében, a település történeti múltját, építészeti kultúráját és a polgárainak önbecsülését, identitását elősegítő épületek, épületrészek, építmények, illetve az azok által alkotott utcák, terek, továbbá szobrok lehetőség szerint való megőrzése, valamint minőségi fejlesztése a jövő nemzedékek számára, az építészeti illeszkedéssel és a településfejlesztési célokkal összefüggő követelmények érvényesítése, összességében az épített környezet esztétikus kialakítása. Célzott hatás továbbá a</w:t>
      </w:r>
      <w:r>
        <w:rPr>
          <w:rFonts w:ascii="Times New Roman" w:hAnsi="Times New Roman" w:cs="Times New Roman"/>
          <w:sz w:val="24"/>
          <w:szCs w:val="24"/>
        </w:rPr>
        <w:t xml:space="preserve"> város településképének védelme érdekében a település területén elhelyezhető reklám- információs- és hirdető-, valamint reklámhordozásra alkalmas egyéb berendezések számának, formai és technológiai kivitelezésük feltételeinek, továbbá egységes elvek szerint meghatározott rendezett és esztétikus elhelyezésüknek és igényes fenntartásuknak a szabályozása.</w:t>
      </w:r>
      <w:r>
        <w:rPr>
          <w:rFonts w:ascii="Times New Roman" w:hAnsi="Times New Roman" w:cs="Times New Roman"/>
          <w:i/>
          <w:iCs/>
          <w:sz w:val="24"/>
          <w:szCs w:val="24"/>
        </w:rPr>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 xml:space="preserve"> (2)</w:t>
        <w:tab/>
      </w:r>
      <w:r>
        <w:rPr>
          <w:rFonts w:ascii="Times New Roman" w:hAnsi="Times New Roman" w:cs="Times New Roman"/>
          <w:sz w:val="24"/>
          <w:szCs w:val="24"/>
          <w:lang w:eastAsia="hu-hu"/>
        </w:rPr>
        <w:t>Csorvás Város</w:t>
      </w:r>
      <w:r>
        <w:rPr>
          <w:rFonts w:ascii="Times New Roman" w:hAnsi="Times New Roman" w:cs="Times New Roman"/>
          <w:color w:val="000000"/>
          <w:sz w:val="24"/>
          <w:szCs w:val="24"/>
          <w:lang w:eastAsia="hu-hu"/>
        </w:rPr>
        <w:t xml:space="preserve"> településkép védelméről szóló rendelete (továbbiakban: Rendelet) meghatározza </w:t>
      </w:r>
      <w:r>
        <w:rPr>
          <w:rFonts w:ascii="Times New Roman" w:hAnsi="Times New Roman" w:cs="Times New Roman"/>
          <w:sz w:val="24"/>
          <w:szCs w:val="24"/>
          <w:lang w:eastAsia="hu-hu"/>
        </w:rPr>
        <w:t>Csorvás Város</w:t>
      </w:r>
      <w:r>
        <w:rPr>
          <w:rFonts w:ascii="Times New Roman" w:hAnsi="Times New Roman" w:cs="Times New Roman"/>
          <w:color w:val="000000"/>
          <w:sz w:val="24"/>
          <w:szCs w:val="24"/>
          <w:lang w:eastAsia="hu-hu"/>
        </w:rPr>
        <w:t xml:space="preserve"> sajátos településképének társadalmi bevonás és konszenzus által történő védelmét és alakítását:</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a helyi építészeti örökség védelmének (a továbbiakban: helyi védelem) meghatározásával, a védetté nyilvánítás, illetve a védelem megszüntetés szabályozásával,</w:t>
      </w:r>
    </w:p>
    <w:p>
      <w:pPr>
        <w:ind w:left="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a településképi szempontból meghatározó területek meghatározásával,</w:t>
      </w:r>
    </w:p>
    <w:p>
      <w:pPr>
        <w:ind w:left="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w:t>
        <w:tab/>
        <w:t>a településképi követelmények szabályozásával,</w:t>
      </w:r>
    </w:p>
    <w:p>
      <w:pPr>
        <w:ind w:left="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d)</w:t>
        <w:tab/>
        <w:t>a településkép-érvényesítési eszközök szabályozásával,</w:t>
      </w:r>
    </w:p>
    <w:p>
      <w:pPr>
        <w:ind w:left="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e)</w:t>
        <w:tab/>
        <w:t>településképi önkormányzati ösztönző rendszer alkalmazásával.</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 xml:space="preserve"> (3)</w:t>
        <w:tab/>
        <w:t>A rendelet személyi hatálya kiterjed minden természetes személyre, jogi személyre és jogi személyiséggel nem rendelkező szervezetre, aki vagy amely a város közigazgatási területén különösen</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jogszabályban meghatározott építési tevékenységet végez, vagy azzal összefüggő építészeti-műszaki tervdokumentációt készít,</w:t>
      </w:r>
    </w:p>
    <w:p>
      <w:pPr>
        <w:ind w:left="1413" w:hanging="705"/>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lang w:eastAsia="hu-hu"/>
        </w:rPr>
        <w:t>b)</w:t>
        <w:tab/>
      </w:r>
      <w:r>
        <w:rPr>
          <w:rFonts w:ascii="Times New Roman" w:hAnsi="Times New Roman" w:cs="Times New Roman"/>
          <w:sz w:val="24"/>
          <w:szCs w:val="24"/>
        </w:rPr>
        <w:t>aki Csorvás város közigazgatási területén reklámot tesz közzé, reklámhordozót tart fenn, helyez el, vagy ilyen tevékenységet kíván végezni.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w:t>
        <w:tab/>
        <w:t>az épület külső megjelenésén a rendeletben meghatározott változtatást végez, feltéve, hogy tevékenysége az e rendeletben meghatározott településképet, vagy annak védelmét érinti, vagy befolyásolja.</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(4)   E Rendelet előírásait Csorvás Város Önkormányzatának Képviselő-testülete által elfogadott településrendezési eszközökkel együtt kell alkalmazni.</w:t>
      </w:r>
    </w:p>
    <w:p>
      <w:pPr>
        <w:ind w:left="-142"/>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(5)</w:t>
        <w:tab/>
        <w:t>E rendelet alkalmazásában:</w:t>
      </w:r>
    </w:p>
    <w:p>
      <w:pPr>
        <w:ind w:left="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b/>
          <w:bCs/>
          <w:color w:val="000000"/>
          <w:sz w:val="24"/>
          <w:szCs w:val="24"/>
          <w:lang w:eastAsia="hu-hu"/>
        </w:rPr>
        <w:t>1</w:t>
      </w:r>
      <w:r>
        <w:rPr>
          <w:rFonts w:ascii="Times New Roman" w:hAnsi="Times New Roman" w:cs="Times New Roman"/>
          <w:color w:val="000000"/>
          <w:sz w:val="24"/>
          <w:szCs w:val="24"/>
          <w:lang w:eastAsia="hu-hu"/>
        </w:rPr>
        <w:t>. Áttört kerítés: a legalább 20 %-os átláthatóságot biztosító kerítés</w:t>
      </w:r>
    </w:p>
    <w:p>
      <w:pPr>
        <w:ind w:left="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b/>
          <w:bCs/>
          <w:color w:val="000000"/>
          <w:sz w:val="24"/>
          <w:szCs w:val="24"/>
          <w:lang w:eastAsia="hu-hu"/>
        </w:rPr>
        <w:t>2</w:t>
      </w:r>
      <w:r>
        <w:rPr>
          <w:rFonts w:ascii="Times New Roman" w:hAnsi="Times New Roman" w:cs="Times New Roman"/>
          <w:color w:val="000000"/>
          <w:sz w:val="24"/>
          <w:szCs w:val="24"/>
          <w:lang w:eastAsia="hu-hu"/>
        </w:rPr>
        <w:t>. Molinó: építményen kifeszített, illetve építmények vagy más tartószerkezetek között átfeszített, textil vagy textil-jellegű egyéb anyagból készült reklámhordozó</w:t>
      </w:r>
    </w:p>
    <w:p>
      <w:pPr>
        <w:ind w:left="709"/>
        <w:spacing w:after="0" w:line="240" w:lineRule="auto"/>
        <w:jc w:val="both"/>
        <w:rPr>
          <w:rFonts w:ascii="Times New Roman" w:hAnsi="Times New Roman" w:cs="Times New Roman"/>
          <w:sz w:val="24"/>
          <w:szCs w:val="24"/>
          <w:lang w:eastAsia="hu-hu"/>
        </w:rPr>
      </w:pPr>
      <w:r>
        <w:rPr>
          <w:rFonts w:ascii="Times New Roman" w:hAnsi="Times New Roman" w:cs="Times New Roman"/>
          <w:b/>
          <w:bCs/>
          <w:color w:val="000000"/>
          <w:sz w:val="24"/>
          <w:szCs w:val="24"/>
          <w:lang w:eastAsia="hu-hu"/>
        </w:rPr>
        <w:t>3</w:t>
      </w:r>
      <w:r>
        <w:rPr>
          <w:rFonts w:ascii="Times New Roman" w:hAnsi="Times New Roman" w:cs="Times New Roman"/>
          <w:color w:val="000000"/>
          <w:sz w:val="24"/>
          <w:szCs w:val="24"/>
          <w:lang w:eastAsia="hu-hu"/>
        </w:rPr>
        <w:t>. óriás plakát: 12 m2 (504 x 238 cm), vagy ezt meghaladó méretű reklámtábla</w:t>
      </w:r>
      <w:r>
        <w:rPr>
          <w:rFonts w:ascii="Times New Roman" w:hAnsi="Times New Roman" w:cs="Times New Roman"/>
          <w:sz w:val="24"/>
          <w:szCs w:val="24"/>
          <w:lang w:eastAsia="hu-hu"/>
        </w:rPr>
      </w:r>
    </w:p>
    <w:p>
      <w:pPr>
        <w:ind w:left="709"/>
        <w:spacing w:after="0" w:line="240" w:lineRule="auto"/>
        <w:jc w:val="both"/>
        <w:rPr>
          <w:rFonts w:ascii="Times New Roman" w:hAnsi="Times New Roman" w:cs="Times New Roman"/>
          <w:sz w:val="24"/>
          <w:szCs w:val="24"/>
          <w:lang w:eastAsia="hu-hu"/>
        </w:rPr>
      </w:pPr>
      <w:r>
        <w:rPr>
          <w:rFonts w:ascii="Times New Roman" w:hAnsi="Times New Roman" w:cs="Times New Roman"/>
          <w:b/>
          <w:bCs/>
          <w:sz w:val="24"/>
          <w:szCs w:val="24"/>
          <w:lang w:eastAsia="hu-hu"/>
        </w:rPr>
        <w:t>4</w:t>
      </w:r>
      <w:r>
        <w:rPr>
          <w:rFonts w:ascii="Times New Roman" w:hAnsi="Times New Roman" w:cs="Times New Roman"/>
          <w:sz w:val="24"/>
          <w:szCs w:val="24"/>
          <w:lang w:eastAsia="hu-hu"/>
        </w:rPr>
        <w:t>. Cégtábla: kereskedelmi-, szolgáltató-, vagy vendéglátó létesítmény nevét és az ott folytatott tevékenységet a bejáratnál feltüntető tábla, illetve felirat</w:t>
      </w:r>
    </w:p>
    <w:p>
      <w:pPr>
        <w:ind w:left="709"/>
        <w:spacing w:after="0" w:line="240" w:lineRule="auto"/>
        <w:jc w:val="both"/>
        <w:rPr>
          <w:rFonts w:ascii="Times New Roman" w:hAnsi="Times New Roman" w:cs="Times New Roman"/>
          <w:sz w:val="24"/>
          <w:szCs w:val="24"/>
          <w:lang w:eastAsia="hu-hu"/>
        </w:rPr>
      </w:pPr>
      <w:r>
        <w:rPr>
          <w:rFonts w:ascii="Times New Roman" w:hAnsi="Times New Roman" w:cs="Times New Roman"/>
          <w:b/>
          <w:bCs/>
          <w:sz w:val="24"/>
          <w:szCs w:val="24"/>
          <w:lang w:eastAsia="hu-hu"/>
        </w:rPr>
        <w:t>5</w:t>
      </w:r>
      <w:r>
        <w:rPr>
          <w:rFonts w:ascii="Times New Roman" w:hAnsi="Times New Roman" w:cs="Times New Roman"/>
          <w:sz w:val="24"/>
          <w:szCs w:val="24"/>
          <w:lang w:eastAsia="hu-hu"/>
        </w:rPr>
        <w:t>. Címtábla: az intézmény vagy vállalkozás nevét, esetleg egyéb adatait feltüntető tábla, névtábla</w:t>
      </w:r>
    </w:p>
    <w:p>
      <w:pPr>
        <w:ind w:left="709"/>
        <w:spacing w:after="0" w:line="240" w:lineRule="auto"/>
        <w:jc w:val="both"/>
        <w:rPr>
          <w:rFonts w:ascii="Times New Roman" w:hAnsi="Times New Roman" w:cs="Times New Roman"/>
          <w:sz w:val="24"/>
          <w:szCs w:val="24"/>
          <w:lang w:eastAsia="hu-hu"/>
        </w:rPr>
      </w:pPr>
      <w:r>
        <w:rPr>
          <w:rFonts w:ascii="Times New Roman" w:hAnsi="Times New Roman" w:cs="Times New Roman"/>
          <w:b/>
          <w:bCs/>
          <w:sz w:val="24"/>
          <w:szCs w:val="24"/>
          <w:lang w:eastAsia="hu-hu"/>
        </w:rPr>
        <w:t>6</w:t>
      </w:r>
      <w:r>
        <w:rPr>
          <w:rFonts w:ascii="Times New Roman" w:hAnsi="Times New Roman" w:cs="Times New Roman"/>
          <w:sz w:val="24"/>
          <w:szCs w:val="24"/>
          <w:lang w:eastAsia="hu-hu"/>
        </w:rPr>
        <w:t>. Kirakat: kereskedelmi vagy szolgáltató létesítmény, műhely helyiségével közvetlen kapcsolatban lévő, elsősorban árubemutatásra szolgáló, közterületre, vagy közhasználatra átadott területre nyíló, üvegezett felület</w:t>
      </w:r>
    </w:p>
    <w:p>
      <w:pPr>
        <w:ind w:left="720"/>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b/>
          <w:bCs/>
          <w:color w:val="000000"/>
          <w:sz w:val="24"/>
          <w:szCs w:val="24"/>
          <w:lang w:eastAsia="hu-hu"/>
        </w:rPr>
        <w:t>7</w:t>
      </w:r>
      <w:r>
        <w:rPr>
          <w:rFonts w:ascii="Times New Roman" w:hAnsi="Times New Roman" w:cs="Times New Roman"/>
          <w:color w:val="000000"/>
          <w:sz w:val="24"/>
          <w:szCs w:val="24"/>
          <w:lang w:eastAsia="hu-hu"/>
        </w:rPr>
        <w:t>. Eredeti állapot: az eredeti építéskori állapot vagy az a későbbi állapot, amelyet a védelem elrendelésekor védendő értékként határoztak meg.</w:t>
      </w:r>
    </w:p>
    <w:p>
      <w:pPr>
        <w:ind w:left="720"/>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b/>
          <w:bCs/>
          <w:color w:val="000000"/>
          <w:sz w:val="24"/>
          <w:szCs w:val="24"/>
          <w:lang w:eastAsia="hu-hu"/>
        </w:rPr>
        <w:t>8</w:t>
      </w:r>
      <w:r>
        <w:rPr>
          <w:rFonts w:ascii="Times New Roman" w:hAnsi="Times New Roman" w:cs="Times New Roman"/>
          <w:color w:val="000000"/>
          <w:sz w:val="24"/>
          <w:szCs w:val="24"/>
          <w:lang w:eastAsia="hu-hu"/>
        </w:rPr>
        <w:t>. Védett értékek károsodása: minden olyan esemény, amely a védett érték teljes, vagy részleges megsemmisülését, karakterének előnytelen megváltoztatását, általános esztétikai értékcsökkenést eredményez.</w:t>
      </w:r>
    </w:p>
    <w:p>
      <w:pPr>
        <w:pStyle w:val="para4"/>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9</w:t>
      </w:r>
      <w:r>
        <w:rPr>
          <w:rFonts w:ascii="Times New Roman" w:hAnsi="Times New Roman" w:cs="Times New Roman"/>
          <w:sz w:val="24"/>
          <w:szCs w:val="24"/>
        </w:rPr>
        <w:t>. CityLight formátumú eszköz</w:t>
      </w:r>
      <w:r>
        <w:rPr>
          <w:rFonts w:ascii="Times New Roman" w:hAnsi="Times New Roman" w:cs="Times New Roman"/>
          <w:i/>
          <w:iCs/>
          <w:sz w:val="24"/>
          <w:szCs w:val="24"/>
        </w:rPr>
        <w:t>:</w:t>
      </w:r>
      <w:r>
        <w:rPr>
          <w:rFonts w:ascii="Times New Roman" w:hAnsi="Times New Roman" w:cs="Times New Roman"/>
          <w:sz w:val="24"/>
          <w:szCs w:val="24"/>
        </w:rPr>
        <w:t xml:space="preserve"> olyan függőleges elhelyezésű berendezés, amelynek mérete hozzávetőlegesen 118 cm x 175 cm, és hozzávetőlegesen 2 négyzetméter papíralapú reklámközzétételre alkalmas felülettel, vagy 72”-90” képátlójú, 16:9 arányú, álló helyzetű digitális kijelzővel rendelkezik;</w:t>
      </w:r>
    </w:p>
    <w:p>
      <w:pPr>
        <w:pStyle w:val="para4"/>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w:t>
      </w:r>
      <w:r>
        <w:rPr>
          <w:rFonts w:ascii="Times New Roman" w:hAnsi="Times New Roman" w:cs="Times New Roman"/>
          <w:sz w:val="24"/>
          <w:szCs w:val="24"/>
        </w:rPr>
        <w:t>. CityBoard formátumú eszköz: olyan 2,5 métertől 3,5 méter magasságú két lábon álló berendezés, amelynek mérete 7-9 négyzetméter, papír- (vagy fólia-) alapú, nem ragasztott, hátulról megvilágított reklámközzétételre alkalmas, hátsó fényforrás által megvilágított felülettel, vagy ilyen méretű digitális kijelzővel rendelkezik;</w:t>
      </w:r>
    </w:p>
    <w:p>
      <w:pPr>
        <w:pStyle w:val="para4"/>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11</w:t>
      </w:r>
      <w:r>
        <w:rPr>
          <w:rFonts w:ascii="Times New Roman" w:hAnsi="Times New Roman" w:cs="Times New Roman"/>
          <w:sz w:val="24"/>
          <w:szCs w:val="24"/>
        </w:rPr>
        <w:t>. Fényreklám: rendszerint az építmény homlokzatán vagy tetőfelépítményén elhelyezett, saját fényforrással rendelkező, világító felületű, vagy külső fényforrással megvilágított, reklám célokat szolgáló felirat, illetve ábra;</w:t>
      </w:r>
    </w:p>
    <w:p>
      <w:pPr>
        <w:pStyle w:val="para4"/>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12</w:t>
      </w:r>
      <w:r>
        <w:rPr>
          <w:rFonts w:ascii="Times New Roman" w:hAnsi="Times New Roman" w:cs="Times New Roman"/>
          <w:sz w:val="24"/>
          <w:szCs w:val="24"/>
        </w:rPr>
        <w:t>. Kirakat:</w:t>
      </w:r>
      <w:r>
        <w:rPr>
          <w:rFonts w:ascii="Times New Roman" w:hAnsi="Times New Roman" w:cs="Times New Roman"/>
          <w:i/>
          <w:iCs/>
          <w:sz w:val="24"/>
          <w:szCs w:val="24"/>
        </w:rPr>
        <w:t xml:space="preserve"> </w:t>
      </w:r>
      <w:r>
        <w:rPr>
          <w:rFonts w:ascii="Times New Roman" w:hAnsi="Times New Roman" w:cs="Times New Roman"/>
          <w:sz w:val="24"/>
          <w:szCs w:val="24"/>
        </w:rPr>
        <w:t>kereskedelmi vagy szolgáltató létesítmény, műhely helyiségével közvetlen kapcsolatban lévő, elsősorban árubemutatásra szolgáló, közterületre vagy közhasználatra átadott területre nyíló, üvegezett felület;</w:t>
      </w:r>
      <w:r>
        <w:rPr>
          <w:rFonts w:ascii="Times New Roman" w:hAnsi="Times New Roman" w:cs="Times New Roman"/>
          <w:i/>
          <w:iCs/>
          <w:sz w:val="24"/>
          <w:szCs w:val="24"/>
        </w:rPr>
      </w:r>
    </w:p>
    <w:p>
      <w:pPr>
        <w:pStyle w:val="para4"/>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13</w:t>
      </w:r>
      <w:r>
        <w:rPr>
          <w:rFonts w:ascii="Times New Roman" w:hAnsi="Times New Roman" w:cs="Times New Roman"/>
          <w:sz w:val="24"/>
          <w:szCs w:val="24"/>
        </w:rPr>
        <w:t>. Közérdekű molinó:</w:t>
      </w:r>
      <w:r>
        <w:rPr>
          <w:rFonts w:ascii="Times New Roman" w:hAnsi="Times New Roman" w:cs="Times New Roman"/>
          <w:i/>
          <w:iCs/>
          <w:sz w:val="24"/>
          <w:szCs w:val="24"/>
        </w:rPr>
        <w:t xml:space="preserve"> </w:t>
      </w:r>
      <w:r>
        <w:rPr>
          <w:rFonts w:ascii="Times New Roman" w:hAnsi="Times New Roman" w:cs="Times New Roman"/>
          <w:sz w:val="24"/>
          <w:szCs w:val="24"/>
        </w:rPr>
        <w:t>olyan, elsődlegesen a település életének valamely jelentős eseményéről való közérdekű tájékoztatást tartalmazó, nem merev anyagból készült hordozó felületű hirdetmény, amely falra vagy más felületre, illetve két felület között van kifeszítve oly módon, hogy az nem képezi valamely építmény homlokzatának tervezett és engedélyezett részét.</w:t>
      </w:r>
      <w:r>
        <w:rPr>
          <w:rFonts w:ascii="Times New Roman" w:hAnsi="Times New Roman" w:cs="Times New Roman"/>
          <w:i/>
          <w:iCs/>
          <w:sz w:val="24"/>
          <w:szCs w:val="24"/>
        </w:rPr>
      </w:r>
    </w:p>
    <w:p>
      <w:pPr>
        <w:pStyle w:val="para4"/>
        <w:spacing w:after="0" w:line="240" w:lineRule="auto"/>
        <w:jc w:val="both"/>
        <w:rPr>
          <w:rFonts w:ascii="Times New Roman" w:hAnsi="Times New Roman" w:cs="Times New Roman"/>
          <w:b/>
          <w:bCs/>
          <w:i/>
          <w:iCs/>
          <w:sz w:val="24"/>
          <w:szCs w:val="24"/>
        </w:rPr>
      </w:pPr>
      <w:r>
        <w:rPr>
          <w:rFonts w:ascii="Times New Roman" w:hAnsi="Times New Roman" w:cs="Times New Roman"/>
          <w:b/>
          <w:bCs/>
          <w:sz w:val="24"/>
          <w:szCs w:val="24"/>
        </w:rPr>
        <w:t>14</w:t>
      </w:r>
      <w:r>
        <w:rPr>
          <w:rFonts w:ascii="Times New Roman" w:hAnsi="Times New Roman" w:cs="Times New Roman"/>
          <w:sz w:val="24"/>
          <w:szCs w:val="24"/>
        </w:rPr>
        <w:t>. Közérdekű reklámfelület:</w:t>
      </w:r>
      <w:r>
        <w:rPr>
          <w:rFonts w:ascii="Times New Roman" w:hAnsi="Times New Roman" w:cs="Times New Roman"/>
          <w:b/>
          <w:bCs/>
          <w:sz w:val="24"/>
          <w:szCs w:val="24"/>
        </w:rPr>
        <w:t xml:space="preserve"> </w:t>
      </w:r>
      <w:r>
        <w:rPr>
          <w:rFonts w:ascii="Times New Roman" w:hAnsi="Times New Roman" w:cs="Times New Roman"/>
          <w:sz w:val="24"/>
          <w:szCs w:val="24"/>
        </w:rPr>
        <w:t>olyan reklámhordozó vagy reklámhordozót tartó berendezés, amelyen a reklám közzététele közérdekből biztosított, és amely a más egyéb célú, a közterületen létesített illetve fenntartott berendezéstől elkülönülten kerül elhelyezésre;</w:t>
      </w:r>
      <w:r>
        <w:rPr>
          <w:rFonts w:ascii="Times New Roman" w:hAnsi="Times New Roman" w:cs="Times New Roman"/>
          <w:b/>
          <w:bCs/>
          <w:i/>
          <w:iCs/>
          <w:sz w:val="24"/>
          <w:szCs w:val="24"/>
        </w:rPr>
      </w:r>
    </w:p>
    <w:p>
      <w:pPr>
        <w:pStyle w:val="para4"/>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15</w:t>
      </w:r>
      <w:r>
        <w:rPr>
          <w:rFonts w:ascii="Times New Roman" w:hAnsi="Times New Roman" w:cs="Times New Roman"/>
          <w:sz w:val="24"/>
          <w:szCs w:val="24"/>
        </w:rPr>
        <w:t>. Önkormányzati faliújság:</w:t>
      </w:r>
      <w:r>
        <w:rPr>
          <w:rFonts w:ascii="Times New Roman" w:hAnsi="Times New Roman" w:cs="Times New Roman"/>
          <w:b/>
          <w:bCs/>
          <w:sz w:val="24"/>
          <w:szCs w:val="24"/>
        </w:rPr>
        <w:t xml:space="preserve"> </w:t>
      </w:r>
      <w:r>
        <w:rPr>
          <w:rFonts w:ascii="Times New Roman" w:hAnsi="Times New Roman" w:cs="Times New Roman"/>
          <w:sz w:val="24"/>
          <w:szCs w:val="24"/>
        </w:rPr>
        <w:t>az önkormányzat által a lakosság tájékoztatása céljából létesített és fenntartott, elsődlegesen az önkormányzat testületei, szervei, tisztségviselői tevékenységéről a lakosságot tájékoztató berendezés, ami az önkormányzat működését szolgáló épületekben vagy azok homlokzatán kerül elhelyezésre, és ami a közérdekű tájékoztatási célt meghaladóan reklámok közzétételére is szolgálhat</w:t>
      </w:r>
      <w:r>
        <w:rPr>
          <w:rFonts w:ascii="Times New Roman" w:hAnsi="Times New Roman" w:cs="Times New Roman"/>
          <w:b/>
          <w:bCs/>
          <w:sz w:val="24"/>
          <w:szCs w:val="24"/>
        </w:rPr>
        <w:t>;</w:t>
      </w:r>
      <w:r>
        <w:rPr>
          <w:rFonts w:ascii="Times New Roman" w:hAnsi="Times New Roman" w:cs="Times New Roman"/>
          <w:i/>
          <w:iCs/>
          <w:sz w:val="24"/>
          <w:szCs w:val="24"/>
        </w:rPr>
      </w:r>
    </w:p>
    <w:p>
      <w:pPr>
        <w:pStyle w:val="para4"/>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16</w:t>
      </w:r>
      <w:r>
        <w:rPr>
          <w:rFonts w:ascii="Times New Roman" w:hAnsi="Times New Roman" w:cs="Times New Roman"/>
          <w:sz w:val="24"/>
          <w:szCs w:val="24"/>
        </w:rPr>
        <w:t>. Önkormányzati hirdetőtábla:</w:t>
      </w:r>
      <w:r>
        <w:rPr>
          <w:rFonts w:ascii="Times New Roman" w:hAnsi="Times New Roman" w:cs="Times New Roman"/>
          <w:b/>
          <w:bCs/>
          <w:sz w:val="24"/>
          <w:szCs w:val="24"/>
        </w:rPr>
        <w:t xml:space="preserve"> </w:t>
      </w:r>
      <w:r>
        <w:rPr>
          <w:rFonts w:ascii="Times New Roman" w:hAnsi="Times New Roman" w:cs="Times New Roman"/>
          <w:sz w:val="24"/>
          <w:szCs w:val="24"/>
        </w:rPr>
        <w:t>az önkormányzat által a lakosság tájékoztatása céljából létesített és fenntartott, elsődlegesen a település élete szempontjából jelentős információk, közlemények, tájékoztatások, így különösen a település életének jelentős eseményeivel kapcsolatos információk közzétételére szolgáló, közterületen elhelyezett tábla, ami a közérdekű tájékoztatási célt meghaladóan reklámok közzétételére is szolgálhat</w:t>
      </w:r>
      <w:r>
        <w:rPr>
          <w:rFonts w:ascii="Times New Roman" w:hAnsi="Times New Roman" w:cs="Times New Roman"/>
          <w:b/>
          <w:bCs/>
          <w:sz w:val="24"/>
          <w:szCs w:val="24"/>
        </w:rPr>
        <w:t>;</w:t>
      </w:r>
      <w:r>
        <w:rPr>
          <w:rFonts w:ascii="Times New Roman" w:hAnsi="Times New Roman" w:cs="Times New Roman"/>
          <w:i/>
          <w:iCs/>
          <w:sz w:val="24"/>
          <w:szCs w:val="24"/>
        </w:rPr>
      </w:r>
    </w:p>
    <w:p>
      <w:pPr>
        <w:pStyle w:val="para4"/>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17</w:t>
      </w:r>
      <w:r>
        <w:rPr>
          <w:rFonts w:ascii="Times New Roman" w:hAnsi="Times New Roman" w:cs="Times New Roman"/>
          <w:sz w:val="24"/>
          <w:szCs w:val="24"/>
        </w:rPr>
        <w:t>. Reklámzászló:</w:t>
      </w:r>
      <w:r>
        <w:rPr>
          <w:rFonts w:ascii="Times New Roman" w:hAnsi="Times New Roman" w:cs="Times New Roman"/>
          <w:i/>
          <w:iCs/>
          <w:sz w:val="24"/>
          <w:szCs w:val="24"/>
        </w:rPr>
        <w:t xml:space="preserve"> </w:t>
      </w:r>
      <w:r>
        <w:rPr>
          <w:rFonts w:ascii="Times New Roman" w:hAnsi="Times New Roman" w:cs="Times New Roman"/>
          <w:sz w:val="24"/>
          <w:szCs w:val="24"/>
        </w:rPr>
        <w:t>olyan – rögzített, egyedi méretű tartószerkezetre (zászlórúdra) szerelt, állandó tartalmú – textil vagy textil-jellegű egyéb anyagból készült hirdetőfelület, mely gazdasági-, kereskedelmi-, szolgáltató- illetve vendéglátó tevékenységet végzők megnevezéséről, tevékenységéről, telephelyéről, illetve megközelítéséről ad információt;</w:t>
      </w:r>
      <w:r>
        <w:rPr>
          <w:rFonts w:ascii="Times New Roman" w:hAnsi="Times New Roman" w:cs="Times New Roman"/>
          <w:i/>
          <w:iCs/>
          <w:sz w:val="24"/>
          <w:szCs w:val="24"/>
        </w:rPr>
      </w:r>
    </w:p>
    <w:p>
      <w:pPr>
        <w:ind w:left="720"/>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r>
    </w:p>
    <w:p>
      <w:pPr>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firstLine="180"/>
        <w:spacing w:after="0" w:line="240" w:lineRule="auto"/>
        <w:jc w:val="center"/>
        <w:rPr>
          <w:rFonts w:ascii="Times New Roman" w:hAnsi="Times New Roman" w:cs="Times New Roman"/>
          <w:color w:val="000000"/>
          <w:sz w:val="24"/>
          <w:szCs w:val="24"/>
          <w:lang w:eastAsia="hu-hu"/>
        </w:rPr>
      </w:pPr>
      <w:r>
        <w:rPr>
          <w:rFonts w:ascii="Times New Roman" w:hAnsi="Times New Roman" w:cs="Times New Roman"/>
          <w:b/>
          <w:bCs/>
          <w:color w:val="000000"/>
          <w:sz w:val="24"/>
          <w:szCs w:val="24"/>
          <w:lang w:eastAsia="hu-hu"/>
        </w:rPr>
        <w:t>II. FEJEZET</w:t>
      </w:r>
      <w:r>
        <w:rPr>
          <w:rFonts w:ascii="Times New Roman" w:hAnsi="Times New Roman" w:cs="Times New Roman"/>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A HELYI ÉRTÉKVÉDELEM</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2. §</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(1)</w:t>
        <w:tab/>
        <w:t>A helyi értékvédelem feladatai: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a különleges oltalmat igénylő településszerkezeti, településképi, táji, építészeti, néprajzi, településtörténeti, régészeti, művészeti, műszaki-ipari-agrár szempontból védelemre érdemes</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aa)</w:t>
        <w:tab/>
        <w:t>településszerkezetek,</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ab)</w:t>
        <w:tab/>
        <w:t>épületegyüttesek,</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ac)</w:t>
        <w:tab/>
        <w:t>épületek és épületrészek, építmények,</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ad)</w:t>
        <w:tab/>
        <w:t>utcaképek és látványok,</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ae)</w:t>
        <w:tab/>
        <w:t>műtárgyak, szobrok, emlékművek, síremlékek felkutatása,</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a védett értékek körének számbavétele és meghatározása, nyilvántartása, dokumentálása, megőrzése, megőriztetése és a lakossággal történő megismertetése,</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w:t>
        <w:tab/>
        <w:t>a védett értékek károsodásának megelőzése, fenntartásuk, illetve megújulásuk elősegítése.</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(2)</w:t>
        <w:tab/>
        <w:t xml:space="preserve">Az (1) bekezdésben megfogalmazott célok érvényesítése érdekében </w:t>
      </w:r>
      <w:r>
        <w:rPr>
          <w:rFonts w:ascii="Times New Roman" w:hAnsi="Times New Roman" w:cs="Times New Roman"/>
          <w:sz w:val="24"/>
          <w:szCs w:val="24"/>
          <w:lang w:eastAsia="hu-hu"/>
        </w:rPr>
        <w:t>Csorvás Város</w:t>
      </w:r>
      <w:r>
        <w:rPr>
          <w:rFonts w:ascii="Times New Roman" w:hAnsi="Times New Roman" w:cs="Times New Roman"/>
          <w:color w:val="000000"/>
          <w:sz w:val="24"/>
          <w:szCs w:val="24"/>
          <w:lang w:eastAsia="hu-hu"/>
        </w:rPr>
        <w:t xml:space="preserve"> Önkormányzatának Képviselő-testülete a megóvandó épített értékeit helyi védettség alá helyezte, ill. helyezi.</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(3)</w:t>
        <w:tab/>
        <w:t xml:space="preserve">Csorvás város  helyi védelem alatt álló építészeti értékének felsorolását az 1. számú melléklet tartalmazza. </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(4)</w:t>
        <w:tab/>
        <w:t>Nem vonható helyi védelem alá a más módon már védettséget élvező településszerkezeti, településképi, táji, építészeti, néprajzi, településtörténeti, régészeti, művészeti, műszaki-ipari-agrár érték.</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Helyi védetté nyilvánítás és annak megszüntetése</w:t>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3. §</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(1)</w:t>
        <w:tab/>
        <w:t xml:space="preserve">A helyi építészeti érték védetté nyilvánításról és annak megszüntetéséről a Képviselő-testület e rendelet módosító rendeletének megalkotásával dönt. </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(2)</w:t>
        <w:tab/>
        <w:t>A helyi védetté nyilvánítást és annak megszüntetését bármely természetes vagy jogi személy írásban kezdeményezheti.</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(3)</w:t>
        <w:tab/>
        <w:t>A kezdeményezésnek tartalmaznia kell:</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egyedi építmények, épületek esetén:</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aa)</w:t>
        <w:tab/>
        <w:t>a védendő érték megnevezését, szükség esetén körülhatárolását,</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ab)</w:t>
        <w:tab/>
        <w:t>pontos hely megjelölését (utca, házszám, helyrajzi szám, épület-illetve telekrész),</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ac)</w:t>
        <w:tab/>
        <w:t>a védendő érték rövid leírását, dokumentálását (fotók, irodalom),</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ad)</w:t>
        <w:tab/>
        <w:t>a kezdeményezés indokolását,</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településszerkezet, településkép, karakter, védelemre javasolt együttes esetén:</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ba)</w:t>
        <w:tab/>
        <w:t>az együttes megnevezését,</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bb)</w:t>
        <w:tab/>
        <w:t>körülhatárolását,</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bc)</w:t>
        <w:tab/>
        <w:t>a védendő érték rövid leírását, dokumentálását (fotó),</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bd)</w:t>
        <w:tab/>
        <w:t>a kezdeményezés indokolását.</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4. §</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(1)</w:t>
        <w:tab/>
        <w:tab/>
        <w:t>A helyi védetté nyilvánítási, illetve annak megszüntetésére irányuló eljárás megindításáról az érdekelteket – az erről szóló döntést megelőzően – a partnerségi egyeztetés szabályai alapján kell tájékoztatni.</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(2)</w:t>
        <w:tab/>
        <w:t>A helyi védetté nyilvánításról és annak megszüntetéséről értesíteni kell:</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az érdekelteket:</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aa)</w:t>
        <w:tab/>
        <w:t>a helyi védettség kezdeményezőjét,</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ab)</w:t>
        <w:tab/>
        <w:t>a helyi védelem alá helyezett ingatlan tulajdonosát,</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ac)</w:t>
        <w:tab/>
        <w:t>a helyi védelem alá helyezett ingatlan kezelőjét, ha az nem azonos a tulajdonossal,</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a kormányhivatal ingatlanügyi szervét,</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w:t>
        <w:tab/>
        <w:t>az illetékes építésügyi hatóságot,</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d)</w:t>
        <w:tab/>
        <w:t>területi védelemnél az érintett közműveket,</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e)</w:t>
        <w:tab/>
        <w:t>helyi értéktár kezelőjét.</w:t>
      </w:r>
    </w:p>
    <w:p>
      <w:pPr>
        <w:spacing w:after="0" w:line="240" w:lineRule="auto"/>
        <w:jc w:val="both"/>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Védett értékek megszüntetése</w:t>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5. §</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(1)</w:t>
        <w:tab/>
        <w:t>A megszüntetésre:</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műszaki indokok alapján, vagy</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életveszély-elhárítása miatt, vagy</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w:t>
        <w:tab/>
        <w:t>a védett elem országos védelmi kategóriába történő beemelése miatt kerülhet sor.</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(2)</w:t>
        <w:tab/>
        <w:t>A védelem megszüntetésére vonatkozó eljárást e Rendelet 4-5. §-ainak megfelelő alkalmazásával kell lefolytatni, a helyi védett elem teljes körű műszaki felmérését (alaprajzok, metszetek, homlokzatok, minden irányú fényképes dokumentálás – ha releváns – történeti kutatás) követően.</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(3)</w:t>
        <w:tab/>
        <w:t xml:space="preserve">Védett építmény teljes bontása csak a védelem megszüntetése után engedélyezhető. </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(4)</w:t>
        <w:tab/>
        <w:t>A bontás engedélyezésének feltételeként az egyes épületrészeknek, tartozékoknak az új épületbe történő beépítése vagy részleges bontás esetén azok megőrzése indokolt esetben előírható.</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A védett értékek fenntartása, hasznosítása</w:t>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6. §</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(1)</w:t>
        <w:tab/>
        <w:t>Az egyedi védelem alatt álló helyi építészeti örökség mindenkori tulajdonosát az alábbi kötelezettség terheli: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A védett elem/elemrészlet használata nem veszélyeztetheti az örökség fennmaradását;</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A védett elem/elemrészlet jókarbantartásáról, állapotának megőrzéséről gondoskodni kell;</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w:t>
        <w:tab/>
        <w:t>A védett elemen végzett építési tevékenység során a védett elem értékóvó átalakítására, karakterének megőrzésére, anyag- és színhasználatában a védett állapot megtartására kell törekedni.</w:t>
      </w:r>
    </w:p>
    <w:p>
      <w:pPr>
        <w:spacing w:after="0" w:line="240" w:lineRule="auto"/>
        <w:jc w:val="both"/>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A védett értékek nyilvántartása</w:t>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7. §</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(1)</w:t>
        <w:tab/>
        <w:t>A helyi védetté nyilvánított értékekről nyilvántartást kell vezetni. A nyilvántartás nyilvános, abba bárki betekinthet.</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(2)</w:t>
        <w:tab/>
        <w:t>A nyilvántartás tartalmazza:</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a védett érték megnevezését,</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a védett érték pontos helyét (utca, házszám, helyrajzi szám),</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w:t>
        <w:tab/>
        <w:t>a helyszínrajzot,</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d)</w:t>
        <w:tab/>
        <w:t>a rendeltetés és használati mód megnevezését,</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e)</w:t>
        <w:tab/>
        <w:t>az eredeti tervdokumentáció másolatát, ha az rendelkezésre áll,</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f)</w:t>
        <w:tab/>
        <w:t>a védelem elrendelésére vonatkozó képviselőtestületi előterjesztés és döntés másolatát, a védettségi kategória meghatározását,</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g)</w:t>
        <w:tab/>
        <w:t>a védett érték felmérési terveit, amennyiben beszerezhetők, illetve előállíthatók,</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h)</w:t>
        <w:tab/>
        <w:t>a védett érték fotódokumentációját,</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i)</w:t>
        <w:tab/>
        <w:t>minden egyéb adatot, amelyet a megőrzendő érték szempontjából a védelemmel összefüggésben a nyilvántartást vezető indokoltnak tart.</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(3)</w:t>
        <w:tab/>
        <w:t>A nyilvántartás vezetéséről a jegyző gondoskodik.</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(4)</w:t>
        <w:tab/>
        <w:t>A helyi védelem alatt álló építményt – annak értékeit nem sértő módon – az e célra rendszeresített egységes táblával kell megjelölni.</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(5)</w:t>
        <w:tab/>
        <w:t>A tábla szövege: „Helyi védelem alatt álló épület/építmény”</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(6)</w:t>
        <w:tab/>
        <w:t>A tulajdonos a tábla elhelyezését tűrni köteles.</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firstLine="180"/>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180" w:firstLine="180"/>
        <w:spacing w:after="0" w:line="240" w:lineRule="auto"/>
        <w:jc w:val="center"/>
        <w:rPr>
          <w:rFonts w:ascii="Times New Roman" w:hAnsi="Times New Roman" w:cs="Times New Roman"/>
          <w:color w:val="000000"/>
          <w:sz w:val="24"/>
          <w:szCs w:val="24"/>
          <w:lang w:eastAsia="hu-hu"/>
        </w:rPr>
      </w:pPr>
      <w:r>
        <w:rPr>
          <w:rFonts w:ascii="Times New Roman" w:hAnsi="Times New Roman" w:cs="Times New Roman"/>
          <w:b/>
          <w:bCs/>
          <w:color w:val="000000"/>
          <w:sz w:val="24"/>
          <w:szCs w:val="24"/>
          <w:lang w:eastAsia="hu-hu"/>
        </w:rPr>
        <w:t>III. FEJEZET</w:t>
      </w:r>
      <w:r>
        <w:rPr>
          <w:rFonts w:ascii="Times New Roman" w:hAnsi="Times New Roman" w:cs="Times New Roman"/>
          <w:color w:val="000000"/>
          <w:sz w:val="24"/>
          <w:szCs w:val="24"/>
          <w:lang w:eastAsia="hu-hu"/>
        </w:rPr>
      </w:r>
    </w:p>
    <w:p>
      <w:pPr>
        <w:ind w:left="180" w:firstLine="180"/>
        <w:spacing w:after="0" w:line="240" w:lineRule="auto"/>
        <w:jc w:val="center"/>
        <w:rPr>
          <w:rFonts w:ascii="Times New Roman" w:hAnsi="Times New Roman" w:cs="Times New Roman"/>
          <w:color w:val="000000"/>
          <w:sz w:val="24"/>
          <w:szCs w:val="24"/>
          <w:lang w:eastAsia="hu-hu"/>
        </w:rPr>
      </w:pPr>
      <w:r>
        <w:rPr>
          <w:rFonts w:ascii="Times New Roman" w:hAnsi="Times New Roman" w:cs="Times New Roman"/>
          <w:b/>
          <w:bCs/>
          <w:color w:val="000000"/>
          <w:sz w:val="24"/>
          <w:szCs w:val="24"/>
          <w:lang w:eastAsia="hu-hu"/>
        </w:rPr>
        <w:t>A TELEPÜLÉSKÉPI SZEMPONTBÓL MEGHATÁROZÓ TERÜLETEK</w:t>
      </w:r>
      <w:r>
        <w:rPr>
          <w:rFonts w:ascii="Times New Roman" w:hAnsi="Times New Roman" w:cs="Times New Roman"/>
          <w:color w:val="000000"/>
          <w:sz w:val="24"/>
          <w:szCs w:val="24"/>
          <w:lang w:eastAsia="hu-hu"/>
        </w:rPr>
      </w:r>
    </w:p>
    <w:p>
      <w:pPr>
        <w:ind w:left="180" w:firstLine="180"/>
        <w:spacing w:after="0" w:line="240" w:lineRule="auto"/>
        <w:jc w:val="center"/>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A településképi szempontból meghatározó területek megállapítása</w:t>
      </w:r>
    </w:p>
    <w:p>
      <w:pPr>
        <w:spacing w:after="0" w:line="240" w:lineRule="auto"/>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FF" tmshd="1677721856, 0, 16777215"/>
        <w:rPr>
          <w:rFonts w:ascii="Times New Roman" w:hAnsi="Times New Roman" w:cs="Times New Roman"/>
          <w:b/>
          <w:bCs/>
          <w:color w:val="000000"/>
          <w:sz w:val="24"/>
          <w:szCs w:val="24"/>
          <w:lang w:eastAsia="hu-hu"/>
        </w:rPr>
      </w:pPr>
      <w:bookmarkStart w:id="1" w:name="_Hlk498454648"/>
      <w:bookmarkEnd w:id="1"/>
      <w:r>
        <w:rPr>
          <w:rFonts w:ascii="Times New Roman" w:hAnsi="Times New Roman" w:cs="Times New Roman"/>
          <w:b/>
          <w:bCs/>
          <w:color w:val="000000"/>
          <w:sz w:val="24"/>
          <w:szCs w:val="24"/>
          <w:lang w:eastAsia="hu-hu"/>
        </w:rPr>
        <w:t>8. §</w:t>
      </w:r>
    </w:p>
    <w:p>
      <w:pPr>
        <w:spacing w:after="0" w:line="240"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FF" tmshd="1677721856, 0, 16777215"/>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FF" tmshd="1677721856, 0, 16777215"/>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 xml:space="preserve"> (1)</w:t>
        <w:tab/>
        <w:t xml:space="preserve">A településkép védelme szempontjából </w:t>
      </w:r>
      <w:r>
        <w:rPr>
          <w:rFonts w:ascii="Times New Roman" w:hAnsi="Times New Roman" w:cs="Times New Roman"/>
          <w:sz w:val="24"/>
          <w:szCs w:val="24"/>
          <w:lang w:eastAsia="hu-hu"/>
        </w:rPr>
        <w:t>Csorvás Város</w:t>
      </w:r>
      <w:r>
        <w:rPr>
          <w:rFonts w:ascii="Times New Roman" w:hAnsi="Times New Roman" w:cs="Times New Roman"/>
          <w:color w:val="000000"/>
          <w:sz w:val="24"/>
          <w:szCs w:val="24"/>
          <w:lang w:eastAsia="hu-hu"/>
        </w:rPr>
        <w:t xml:space="preserve"> közigazgatási területén </w:t>
      </w:r>
      <w:r>
        <w:rPr>
          <w:rFonts w:ascii="Times New Roman" w:hAnsi="Times New Roman" w:cs="Times New Roman"/>
          <w:b/>
          <w:bCs/>
          <w:color w:val="000000"/>
          <w:sz w:val="24"/>
          <w:szCs w:val="24"/>
          <w:lang w:eastAsia="hu-hu"/>
        </w:rPr>
        <w:t>meghatározó  területnek</w:t>
      </w:r>
      <w:r>
        <w:rPr>
          <w:rFonts w:ascii="Times New Roman" w:hAnsi="Times New Roman" w:cs="Times New Roman"/>
          <w:color w:val="000000"/>
          <w:sz w:val="24"/>
          <w:szCs w:val="24"/>
          <w:lang w:eastAsia="hu-hu"/>
        </w:rPr>
        <w:t xml:space="preserve"> minősül az alábbiakban felsorolt településrészek együttes halmaza:</w:t>
      </w:r>
    </w:p>
    <w:p>
      <w:pPr>
        <w:ind w:left="426" w:hanging="426"/>
        <w:spacing w:after="0" w:line="240"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FF" tmshd="1677721856, 0, 16777215"/>
        <w:rPr>
          <w:rFonts w:ascii="Times New Roman" w:hAnsi="Times New Roman" w:cs="Times New Roman"/>
          <w:color w:val="ff0000"/>
          <w:sz w:val="24"/>
          <w:szCs w:val="24"/>
          <w:lang w:eastAsia="hu-hu"/>
        </w:rPr>
      </w:pPr>
      <w:r>
        <w:rPr>
          <w:rFonts w:ascii="Times New Roman" w:hAnsi="Times New Roman" w:cs="Times New Roman"/>
          <w:color w:val="000000"/>
          <w:sz w:val="24"/>
          <w:szCs w:val="24"/>
          <w:lang w:eastAsia="hu-hu"/>
        </w:rPr>
        <w:tab/>
        <w:t>a) e</w:t>
      </w:r>
      <w:r>
        <w:rPr>
          <w:rFonts w:ascii="Times New Roman" w:hAnsi="Times New Roman" w:cs="Times New Roman"/>
          <w:sz w:val="24"/>
          <w:szCs w:val="24"/>
          <w:lang w:eastAsia="hu-hu"/>
        </w:rPr>
        <w:t xml:space="preserve"> Rendelet 2. melléklete szerinti lehatárolt területet </w:t>
      </w:r>
      <w:r>
        <w:rPr>
          <w:rFonts w:ascii="Times New Roman" w:hAnsi="Times New Roman" w:cs="Times New Roman"/>
          <w:color w:val="ff0000"/>
          <w:sz w:val="24"/>
          <w:szCs w:val="24"/>
          <w:lang w:eastAsia="hu-hu"/>
        </w:rPr>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aa)</w:t>
        <w:tab/>
        <w:t>a Széchenyi István,  a Hunyadi János, a Batthyány és a Bajcsy Zsilinszky utcák által közrefogott városmag területe,</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ab)</w:t>
        <w:tab/>
        <w:t>a Rákóczy utcának a közút tengelyétől mindkét irányban mért 50 m-es környezetében található ingatlanok teljes területe, a Batthyány utcától a település Orosháza felőli belterületi határáig,</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ac)</w:t>
        <w:tab/>
        <w:t>a Békéscsabai utcának a közút tengelyétől mindkét irányban mért 50 m-es környezetében található ingatlanok teljes területe, a Bajcsy Zsilinszky utcától a település Békéscsaba felőli belterületi határáig.</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ad)</w:t>
        <w:tab/>
        <w:t>a Bajcsy-Zsilinszky utca, a Rákóczi utcától a vasútállomásig tartó szakaszának a közút tengelyétől mindkét irányban mért 50 m-es környezetében található ingatlanok teljes területe, beleértve a vasútállomás épületét is..</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ae)</w:t>
        <w:tab/>
        <w:t>az Október 6. utca vasútvonal menti szakasza páratlan oldalának a közút tengelyétől mért 50 m-es környezetében található ingatlanok teljes területe.</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b/>
      </w:r>
    </w:p>
    <w:p>
      <w:pPr>
        <w:ind w:left="900" w:hanging="540"/>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a régészeti lelőhelyek területe, melynek jegyzékét  e rendelet 3. számú melléklete tartalmazza,</w:t>
      </w:r>
    </w:p>
    <w:p>
      <w:pPr>
        <w:ind w:left="900" w:hanging="540"/>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w:t>
        <w:tab/>
        <w:t xml:space="preserve">a helyi jelentőségű védett építészeti értékek területe, </w:t>
      </w:r>
    </w:p>
    <w:p>
      <w:pPr>
        <w:ind w:left="900" w:hanging="540"/>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d)</w:t>
        <w:tab/>
        <w:t>a Körös-Maros Nemzeti Park területe, az Ex Lege kunhalmok, a természet megőrzési NATURA 2000 terület, az országos ökológiai hálózat – magterülete és az ökológiai folyosó területe, melynek térképi ábrázolását e rendelet 4. számú melléklete tartalmazza,</w:t>
      </w:r>
    </w:p>
    <w:p>
      <w:pPr>
        <w:ind w:left="900" w:hanging="540"/>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e)</w:t>
        <w:tab/>
        <w:t>a helyi védelem alatt álló természeti értékek</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1418" w:hanging="709"/>
        <w:spacing w:after="0" w:line="240" w:lineRule="auto"/>
        <w:jc w:val="center"/>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9. §</w:t>
      </w:r>
    </w:p>
    <w:p>
      <w:pPr>
        <w:ind w:left="1418" w:hanging="709"/>
        <w:spacing w:after="0" w:line="240" w:lineRule="auto"/>
        <w:jc w:val="center"/>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(1)</w:t>
        <w:tab/>
        <w:t>A településképi szempontból meghatározó terület művi elemekkel érintett részén:</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a homlokzatkialakítások egymáshoz illeszkedjenek;</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az épületek elhelyezése összhangot mutató legyen;</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w:t>
        <w:tab/>
        <w:t>minőségi anyaghasználatot kell alkalmazni;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d)</w:t>
        <w:tab/>
        <w:t>harmóniát tükröző színezést kell használni;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e)</w:t>
        <w:tab/>
        <w:t>az előkerteknek  rendezett képet kell mutatniuk;</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f)</w:t>
        <w:tab/>
        <w:t>a kerítések összhangját biztosítani kell;</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g)</w:t>
        <w:tab/>
        <w:t>az utcafásításokat utcaszakaszonként össze kell hangolni;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h)</w:t>
        <w:tab/>
        <w:t>magas színvonalú építészeti megoldásokat kell alkalmazni;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i)</w:t>
        <w:tab/>
        <w:t>óvni és fejleszteni kell az épített és természeti környezet harmóniáját, és a lakókörnyezet minőségét.</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(2)</w:t>
        <w:tab/>
        <w:t>A településképi szempontból meghatározó terület táji, természeti elemekkel érintett részén:</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a tájkaraktert meg kell őrizni;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 xml:space="preserve">a kilátás és rálátásvédelem szempontjait figyelembe kell venni; </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w:t>
        <w:tab/>
        <w:t>az építményeknek tájba-illeszkedőnek kell lenniük;</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d)</w:t>
        <w:tab/>
        <w:t>az építmények elhelyezése környezetükkel összhangot mutató legyen;</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e)</w:t>
        <w:tab/>
        <w:t>minőségi és természetes anyaghasználatot kell alkalmazni ;</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f)</w:t>
        <w:tab/>
        <w:t>visszafogott színezést kell használni;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g)</w:t>
        <w:tab/>
        <w:t>táji hagyományokat tükröző növényállományt kell telepíteni;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h)</w:t>
        <w:tab/>
        <w:t xml:space="preserve">nem telepíthető </w:t>
      </w:r>
      <w:r>
        <w:rPr>
          <w:rFonts w:ascii="Times New Roman" w:hAnsi="Times New Roman" w:cs="Times New Roman"/>
          <w:sz w:val="24"/>
          <w:szCs w:val="24"/>
          <w:lang w:eastAsia="hu-hu"/>
        </w:rPr>
        <w:t>a tájidegen, agresszíven gyomosító, invazív fajú növény.</w:t>
      </w:r>
      <w:r>
        <w:rPr>
          <w:rFonts w:ascii="Times New Roman" w:hAnsi="Times New Roman" w:cs="Times New Roman"/>
          <w:color w:val="000000"/>
          <w:sz w:val="24"/>
          <w:szCs w:val="24"/>
          <w:lang w:eastAsia="hu-hu"/>
        </w:rPr>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firstLine="180"/>
        <w:spacing w:after="0" w:line="240" w:lineRule="auto"/>
        <w:jc w:val="center"/>
        <w:rPr>
          <w:rFonts w:ascii="Times New Roman" w:hAnsi="Times New Roman" w:cs="Times New Roman"/>
          <w:color w:val="000000"/>
          <w:sz w:val="24"/>
          <w:szCs w:val="24"/>
          <w:lang w:eastAsia="hu-hu"/>
        </w:rPr>
      </w:pPr>
      <w:r>
        <w:rPr>
          <w:rFonts w:ascii="Times New Roman" w:hAnsi="Times New Roman" w:cs="Times New Roman"/>
          <w:b/>
          <w:bCs/>
          <w:color w:val="000000"/>
          <w:sz w:val="24"/>
          <w:szCs w:val="24"/>
          <w:lang w:eastAsia="hu-hu"/>
        </w:rPr>
        <w:t>IV. FEJEZET</w:t>
      </w:r>
      <w:r>
        <w:rPr>
          <w:rFonts w:ascii="Times New Roman" w:hAnsi="Times New Roman" w:cs="Times New Roman"/>
          <w:color w:val="000000"/>
          <w:sz w:val="24"/>
          <w:szCs w:val="24"/>
          <w:lang w:eastAsia="hu-hu"/>
        </w:rPr>
      </w:r>
    </w:p>
    <w:p>
      <w:pPr>
        <w:ind w:firstLine="180"/>
        <w:spacing w:after="0" w:line="240" w:lineRule="auto"/>
        <w:jc w:val="center"/>
        <w:rPr>
          <w:rFonts w:ascii="Times New Roman" w:hAnsi="Times New Roman" w:cs="Times New Roman"/>
          <w:color w:val="000000"/>
          <w:sz w:val="24"/>
          <w:szCs w:val="24"/>
          <w:lang w:eastAsia="hu-hu"/>
        </w:rPr>
      </w:pPr>
      <w:r>
        <w:rPr>
          <w:rFonts w:ascii="Times New Roman" w:hAnsi="Times New Roman" w:cs="Times New Roman"/>
          <w:b/>
          <w:bCs/>
          <w:color w:val="000000"/>
          <w:sz w:val="24"/>
          <w:szCs w:val="24"/>
          <w:lang w:eastAsia="hu-hu"/>
        </w:rPr>
        <w:t>A TELEPÜLÉSKÉPI KÖVETELMÉNYEK</w:t>
      </w:r>
      <w:r>
        <w:rPr>
          <w:rFonts w:ascii="Times New Roman" w:hAnsi="Times New Roman" w:cs="Times New Roman"/>
          <w:color w:val="000000"/>
          <w:sz w:val="24"/>
          <w:szCs w:val="24"/>
          <w:lang w:eastAsia="hu-hu"/>
        </w:rPr>
      </w:r>
    </w:p>
    <w:p>
      <w:pPr>
        <w:ind w:firstLine="180"/>
        <w:spacing w:after="0" w:line="240" w:lineRule="auto"/>
        <w:jc w:val="center"/>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Építmények anyaghasználatára vonatkozó általános építészeti követelmények</w:t>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10. §</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(1)</w:t>
        <w:tab/>
        <w:t>A település teljes területén, az adott szerkezet felújítása, átépítése során, az alábbi általános építészeti követelményeket kell betartani: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a homlokzatképzésnél nem alkalmazhatók az alábbiak:</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aa)</w:t>
        <w:tab/>
        <w:t>erős, élénk, kontrasztos színű anyagok használata,</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ab)</w:t>
        <w:tab/>
        <w:t>ipari terület, kereskedelmi, szolgáltató terület kivételével, a település történelmi anyaghasználatától idegen (pl. fém, műanyag) homlokzati elem használata,</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ac)</w:t>
        <w:tab/>
        <w:t xml:space="preserve">túlzottan tagolt, elaprózott homlokzatképző elemek használata.                                                         </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a tetőfedésnél nem alkalmazhatók az alábbi anyagok:</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ba)</w:t>
        <w:tab/>
        <w:t>pala (kivéve a természetes pala);</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bb)</w:t>
        <w:tab/>
        <w:t>rozsdásodó bádog, valamint</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bc)</w:t>
        <w:tab/>
        <w:t>műanyag.</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w:t>
        <w:tab/>
        <w:t>a nyílászáróknál nem alkalmazhatók az alábbiak:</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ca)</w:t>
        <w:tab/>
        <w:t>domború üvegezés;</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cb)</w:t>
        <w:tab/>
        <w:t>egymással nem harmonizáló anyagok, valamint</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cc)</w:t>
        <w:tab/>
        <w:t>igénytelen formai kialakítású elemek.</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cd)</w:t>
        <w:tab/>
        <w:t>azonos homlokzaton eltérő stílusú, ill. anyagú nyílászárók.</w:t>
      </w:r>
    </w:p>
    <w:p>
      <w:pPr>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r>
    </w:p>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 településképi szempontból meghatározó területtel nem érintett egyéb területek esetében</w:t>
      </w:r>
    </w:p>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egyedi építészeti követelmény</w:t>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11.§</w:t>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ind w:firstLine="705"/>
        <w:spacing w:after="0" w:line="240" w:lineRule="auto"/>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 anyaghasználat tekintetében:</w:t>
      </w:r>
    </w:p>
    <w:p>
      <w:pPr>
        <w:ind w:left="2124" w:hanging="708"/>
        <w:spacing w:after="0" w:line="240" w:lineRule="auto"/>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 xml:space="preserve">aa) </w:t>
        <w:tab/>
        <w:t>utcai telekhatáron, ill. előkertben fa  vagy fémvázas szerkezetű, ill. pala és fémlemez fedésű garázs, gazdasági épület nem létesíthető,</w:t>
      </w:r>
    </w:p>
    <w:p>
      <w:pPr>
        <w:ind w:left="2124" w:hanging="708"/>
        <w:spacing w:after="0" w:line="240" w:lineRule="auto"/>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 xml:space="preserve">ab) </w:t>
        <w:tab/>
        <w:t>utcai telekhatáron nyílószárnyas közterület felé nyíló fa vagy fém anyagú garázskapu, kertkapu nem létesíthető,</w:t>
      </w:r>
    </w:p>
    <w:p>
      <w:pPr>
        <w:ind w:left="2124" w:hanging="708"/>
        <w:spacing w:after="0" w:line="240" w:lineRule="auto"/>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 xml:space="preserve">ac) </w:t>
        <w:tab/>
        <w:t>a főépületek és kerti építmények anyaga nem lehet a természetes anyagtól eltérő,</w:t>
      </w:r>
    </w:p>
    <w:p>
      <w:pPr>
        <w:ind w:left="2124" w:hanging="708"/>
        <w:spacing w:after="0" w:line="240" w:lineRule="auto"/>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 xml:space="preserve">ad) </w:t>
        <w:tab/>
        <w:t>az utcai homlokzat felől látható melléképületek anyaga nem lehet eltérő a főépület anyagától.</w:t>
      </w:r>
    </w:p>
    <w:p>
      <w:pPr>
        <w:ind w:left="1416"/>
        <w:spacing w:after="0" w:line="240" w:lineRule="auto"/>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 xml:space="preserve">ad) </w:t>
        <w:tab/>
        <w:t>az utcaszakaszok egységét nem bonthatja meg eltérő anyaghasználat.</w:t>
      </w:r>
    </w:p>
    <w:p>
      <w:pPr>
        <w:spacing w:after="0" w:line="240" w:lineRule="auto"/>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b/>
      </w:r>
    </w:p>
    <w:p>
      <w:pPr>
        <w:ind w:firstLine="708"/>
        <w:spacing w:after="0" w:line="240" w:lineRule="auto"/>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 fás szárú növények telepíthetőségére vonatkozó követelmények:</w:t>
      </w:r>
    </w:p>
    <w:p>
      <w:pPr>
        <w:spacing w:after="0" w:line="240" w:lineRule="auto"/>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b/>
        <w:tab/>
        <w:t xml:space="preserve">ba) </w:t>
        <w:tab/>
        <w:t xml:space="preserve">allergén és invazív fás szárú növények nem telepíthetők. </w:t>
      </w:r>
    </w:p>
    <w:p>
      <w:pPr>
        <w:ind w:left="2124" w:hanging="708"/>
        <w:spacing w:after="0" w:line="240" w:lineRule="auto"/>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 xml:space="preserve">bb) </w:t>
        <w:tab/>
        <w:t>a már meglévő inváziós fajú fás szárú növények nem terjedhetnek el sem a közterületen, sem az ingatlanokon, ennek érdekében a gyökér és tősarjak irtásáról folyamatosan gondoskodni kell.</w:t>
      </w:r>
    </w:p>
    <w:p>
      <w:pPr>
        <w:spacing w:after="0" w:line="240" w:lineRule="auto"/>
        <w:rPr>
          <w:rFonts w:ascii="Times New Roman" w:hAnsi="Times New Roman" w:cs="Times New Roman"/>
          <w:color w:val="000000"/>
          <w:sz w:val="24"/>
          <w:szCs w:val="24"/>
          <w:lang w:eastAsia="hu-hu"/>
        </w:rPr>
      </w:pPr>
      <w:r>
        <w:rPr>
          <w:rFonts w:ascii="Times New Roman" w:hAnsi="Times New Roman" w:cs="Times New Roman"/>
          <w:b/>
          <w:bCs/>
          <w:color w:val="000000"/>
          <w:sz w:val="24"/>
          <w:szCs w:val="24"/>
          <w:lang w:eastAsia="hu-hu"/>
        </w:rPr>
        <w:tab/>
        <w:tab/>
      </w:r>
      <w:r>
        <w:rPr>
          <w:rFonts w:ascii="Times New Roman" w:hAnsi="Times New Roman" w:cs="Times New Roman"/>
          <w:color w:val="000000"/>
          <w:sz w:val="24"/>
          <w:szCs w:val="24"/>
          <w:lang w:eastAsia="hu-hu"/>
        </w:rPr>
        <w:t>bc)</w:t>
        <w:tab/>
        <w:t>fás szárú növény telepítése esetén tájidegen fajok nem alkalmazhatók,</w:t>
      </w:r>
    </w:p>
    <w:p>
      <w:pPr>
        <w:spacing w:after="0" w:line="240" w:lineRule="auto"/>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b/>
        <w:tab/>
        <w:t xml:space="preserve">bd) </w:t>
        <w:tab/>
        <w:t>utcaszakaszonként a fasorok egységessége nem bontható meg.</w:t>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A településképi szempontból meghatározó területek művi elemekkel érintett részére vonatkozó területi és egyedi építészeti követelmények</w:t>
      </w:r>
    </w:p>
    <w:p>
      <w:pPr>
        <w:spacing w:after="0" w:line="240" w:lineRule="auto"/>
        <w:jc w:val="center"/>
        <w:rPr>
          <w:rFonts w:ascii="Times New Roman" w:hAnsi="Times New Roman" w:cs="Times New Roman"/>
          <w:b/>
          <w:bCs/>
          <w:sz w:val="24"/>
          <w:szCs w:val="24"/>
          <w:lang w:eastAsia="hu-hu"/>
        </w:rPr>
      </w:pPr>
      <w:r>
        <w:rPr>
          <w:rFonts w:ascii="Times New Roman" w:hAnsi="Times New Roman" w:cs="Times New Roman"/>
          <w:b/>
          <w:bCs/>
          <w:sz w:val="24"/>
          <w:szCs w:val="24"/>
          <w:lang w:eastAsia="hu-hu"/>
        </w:rPr>
        <w:t>12. §</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(1)</w:t>
        <w:tab/>
        <w:t>A településképi szempontból meghatározó, e rendelet 8. §-a szerinti területek művi elemekkel érintett részére vonatkozó területi építészeti követelmények az alábbiak:</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a beépítés jellemző szintszámának, tetőhajlásszögének tekintetében:</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aa)</w:t>
        <w:tab/>
        <w:t>a területfelhasználás függvényében az alábbi szintmagasságot kell feltételezni a beépítés jellemző, túl nem léphető szintszámának kiszámítása során:</w:t>
      </w:r>
    </w:p>
    <w:p>
      <w:pPr>
        <w:ind w:left="2694"/>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1. lakóterületeken min. 3,0 méter</w:t>
      </w:r>
    </w:p>
    <w:p>
      <w:pPr>
        <w:ind w:left="2694"/>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2. vegyes területen min. 3,5 méter</w:t>
      </w:r>
    </w:p>
    <w:p>
      <w:pPr>
        <w:ind w:left="2694"/>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3. további területeken nincs rögzítve.</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ab)</w:t>
        <w:tab/>
        <w:t>magastető építés esetén a tetőhajlásszög 30-45° közötti lehet</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ac)</w:t>
        <w:tab/>
        <w:t>tetőtérben több önálló szint nem alakítható ki.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a kerti építmények, műtárgyak tekintetében:</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ba)</w:t>
        <w:tab/>
        <w:t>kerti építmény(eke)t, műtárgya(ka)t az oldal és hátsókertben kell elhelyezni az alábbi kivételek figyelembevételével:</w:t>
      </w:r>
    </w:p>
    <w:p>
      <w:pPr>
        <w:ind w:left="2694"/>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1. portaépület előkertben is elhelyezhető.</w:t>
      </w:r>
    </w:p>
    <w:p>
      <w:pPr>
        <w:ind w:left="2694"/>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2. közmű becsatlakozási műtárgy, előkertben és oldalkertben is elhelyezhető.</w:t>
      </w:r>
    </w:p>
    <w:p>
      <w:pPr>
        <w:ind w:left="2694"/>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3. pad, játszótéri építmény, szobor, képzőművészeti alkotás, lugas, előkertben és oldalkertben is elhelyezhető.</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w:t>
        <w:tab/>
        <w:t>kerítés kialakítás tekintetében:</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ca)</w:t>
        <w:tab/>
        <w:t>a területen áttört kerítést kell létesíteni az alábbi kivételek figyelembevételével:</w:t>
      </w:r>
    </w:p>
    <w:p>
      <w:pPr>
        <w:ind w:left="2694"/>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1. forgalmi terhelések mérséklésére;</w:t>
      </w:r>
    </w:p>
    <w:p>
      <w:pPr>
        <w:ind w:left="2694"/>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2. történeti hagyományok megtartására;</w:t>
      </w:r>
    </w:p>
    <w:p>
      <w:pPr>
        <w:ind w:left="2694"/>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3. utcaképi illeszkedés biztosítására; valamint</w:t>
      </w:r>
    </w:p>
    <w:p>
      <w:pPr>
        <w:ind w:left="2694"/>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 xml:space="preserve">4. építészeti koncepció érvényesítésére </w:t>
      </w:r>
    </w:p>
    <w:p>
      <w:pPr>
        <w:ind w:left="2694"/>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tömör kerítés is kialakítható.</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cb)</w:t>
        <w:tab/>
        <w:t>a közterület felőli kerítést az alábbi előírások együttes figyelembevételével kell kialakítani, illetve fenntartani:</w:t>
      </w:r>
    </w:p>
    <w:p>
      <w:pPr>
        <w:ind w:left="2694"/>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1. az épülettel összhangot mutató anyag- és színhasználat alkalmazása;</w:t>
      </w:r>
    </w:p>
    <w:p>
      <w:pPr>
        <w:ind w:left="2694"/>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2. időtálló, minőségi anyaghasználat;</w:t>
      </w:r>
    </w:p>
    <w:p>
      <w:pPr>
        <w:ind w:left="2694"/>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3. élénk színek kerülése, harmonikus, telítetlen földszínek, zöld vagy fehér szín alkalmazása;</w:t>
      </w:r>
    </w:p>
    <w:p>
      <w:pPr>
        <w:ind w:left="2694"/>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4. elsősorban természetes anyagok (pl. kő, tégla, fa) használata;</w:t>
      </w:r>
    </w:p>
    <w:p>
      <w:pPr>
        <w:ind w:left="2694"/>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5. növényzet alkotta kerítés lehetősége;</w:t>
      </w:r>
    </w:p>
    <w:p>
      <w:pPr>
        <w:ind w:left="2694"/>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6. balesetveszélyt okozó kialakítás (törtüveg, szögesdrót, áram-bevezetésű) nem építhető.</w:t>
      </w:r>
    </w:p>
    <w:p>
      <w:pPr>
        <w:ind w:left="2340" w:hanging="720"/>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cc)   Az ingatlan tulajdonosának, ill. használójának kötelessége a  kerítés                                                                                                                 folyamatos karbantartása, jó műszaki állapotának fenntartása.</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d)</w:t>
        <w:tab/>
        <w:t>közterület alakítási terv tekintetében:</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da)</w:t>
        <w:tab/>
        <w:t>közterület-alakítási tervet a településkép szempontjából meghatározó terület legalább utca-szakaszonkénti, annak két oldalát magába foglaló lehatárolásával kell készíteni, a Képviselő-testület mindenkori döntésében szereplő területre, a szükséges forgalomtechnikai és műszaki szempontok tekintetében a településképi szempontból meghatározó teljes terület figyelembevételével.</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db)</w:t>
        <w:tab/>
        <w:t>a közterület-alakítási tervben, legalább utca szakaszonként egységes megjelenést biztosító fajösszetételű fasorokat kell alkalmazni.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e)</w:t>
        <w:tab/>
        <w:t>az anyaghasználat tekintetében bármely, az alábbi szempontoknak együttesen eleget tevő anyag használható:</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ea)</w:t>
        <w:tab/>
        <w:t>időtálló,</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eb)</w:t>
        <w:tab/>
        <w:t>minőséget képviselő,</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ec)</w:t>
        <w:tab/>
        <w:t>természetes (pl. kő, tégla, fa);</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ed)</w:t>
        <w:tab/>
        <w:t xml:space="preserve">nem telített és környezetétől nem elütő színű; </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f)</w:t>
        <w:tab/>
        <w:t>a tömegformálás tekintetében bármely:</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fa)</w:t>
        <w:tab/>
        <w:t>építészeti minőséget tükröző,</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fb)</w:t>
        <w:tab/>
        <w:t>arányos,</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fc)</w:t>
        <w:tab/>
        <w:t>funkciójával összhangot mutató,</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fd)</w:t>
        <w:tab/>
        <w:t>logikus tömegformálás használható.</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g)</w:t>
        <w:tab/>
        <w:t>a homlokzatkialakítás tekintetében bármely, az alábbi szempontoknak együttesen eleget tevő homlokzat alakítható ki:</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ga)</w:t>
        <w:tab/>
        <w:t>a homlokzattagolást arányosan alkalmazó;</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gb)</w:t>
        <w:tab/>
        <w:t>tagozatokat visszafogottan használó;</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gc)</w:t>
        <w:tab/>
        <w:t>díszítésében egyszerűségre törekvő;</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gd)</w:t>
        <w:tab/>
        <w:t>pasztellszíneket, vagy fehér színt alkalmazó;</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ge)</w:t>
        <w:tab/>
        <w:t>nyílásrendszerében rendezett;</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gf)</w:t>
        <w:tab/>
        <w:t>logikát tükröző; valamint</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gg)</w:t>
        <w:tab/>
        <w:t>természetes anyagokat (pl. vakolat, kő, tégla) alkalmazó.</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h)</w:t>
        <w:tab/>
        <w:t>a zöldfelületek kialakítása tekintetében bármely, az alábbi szempontoknak együttesen eleget tevő növényzet telepíthető:</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ha)</w:t>
        <w:tab/>
        <w:t>a fás szárú növények;</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hb)</w:t>
        <w:tab/>
        <w:t>a telepítéseket a művi értékekkel egységben kell kezelni;</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hc)</w:t>
        <w:tab/>
        <w:t>a táji jellegzetességet, termőhelyi adottságokat tükrözze vissza;</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hd)</w:t>
        <w:tab/>
        <w:t xml:space="preserve">allergén és invazív fajok nem alkalmazhatók; </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he)</w:t>
        <w:tab/>
        <w:t>közterületen, utca szakaszonként egységes megjelenésre kell törekedni.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i)</w:t>
        <w:tab/>
        <w:t>a zöldfelületen elhelyezhető kerti építmények és burkolatok kialakítása tekintetében bármely, az alábbi szempontoknak együttesen eleget tevő metódus alkalmazható:</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ia)</w:t>
        <w:tab/>
        <w:t>egységes arculat kialakítására kell törekedni;</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ib)</w:t>
        <w:tab/>
        <w:t>zavarosan vibráló burkolat nem engedélyezhető;</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ic)</w:t>
        <w:tab/>
        <w:t>az építmények és a burkolat összhangját meg kell teremteni;</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id)</w:t>
        <w:tab/>
        <w:t>a burkolt felületeket a szükséges mértékre kell szorítani;</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ie)</w:t>
        <w:tab/>
        <w:t>a táji látványt előtérbe kell helyezni;</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if)</w:t>
        <w:tab/>
        <w:t>építészi és tájépítészi szakmai szempontokat képviselje.</w:t>
      </w:r>
    </w:p>
    <w:p>
      <w:pPr>
        <w:ind w:left="1418" w:hanging="709"/>
        <w:spacing w:after="0" w:line="240" w:lineRule="auto"/>
        <w:jc w:val="both"/>
        <w:rPr>
          <w:rFonts w:ascii="Times New Roman" w:hAnsi="Times New Roman" w:cs="Times New Roman"/>
          <w:sz w:val="24"/>
          <w:szCs w:val="24"/>
          <w:lang w:eastAsia="hu-hu"/>
        </w:rPr>
      </w:pPr>
      <w:r>
        <w:rPr>
          <w:rFonts w:ascii="Times New Roman" w:hAnsi="Times New Roman" w:cs="Times New Roman"/>
          <w:color w:val="000000"/>
          <w:sz w:val="24"/>
          <w:szCs w:val="24"/>
          <w:lang w:eastAsia="hu-hu"/>
        </w:rPr>
        <w:t>j)</w:t>
        <w:tab/>
        <w:t xml:space="preserve">a sajátos építményfajták elhelyezési módja tekintetében – honvédelmi és katonai, továbbá nemzetbiztonsági célú, illetve rendeltetésű építmények kivételével – az alábbi </w:t>
      </w:r>
      <w:r>
        <w:rPr>
          <w:rFonts w:ascii="Times New Roman" w:hAnsi="Times New Roman" w:cs="Times New Roman"/>
          <w:sz w:val="24"/>
          <w:szCs w:val="24"/>
          <w:lang w:eastAsia="hu-hu"/>
        </w:rPr>
        <w:t>előírásokat kell betartani:</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ja)</w:t>
        <w:tab/>
        <w:t>a meglévő vonalas infrastruktúra elemek elhelyezkedését figyelembe kell venni – lehetőség esetén –, területüket, szerkezeteiket felhasználni;</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jb)</w:t>
        <w:tab/>
        <w:t>az előkertben, a közterületről való láthatóságot növényzettel kell eltakarni, vagy mérsékelni;</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jc)</w:t>
        <w:tab/>
        <w:t>az antennák közterület felőli homlokzatra rögzítését el kell kerülni;</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jd)</w:t>
        <w:tab/>
        <w:t>a légkondicionáló kültéri egységeinek közterület felőli homlokzatra rögzítését el kell kerülni;</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je)</w:t>
        <w:tab/>
        <w:t>a kondenzvíz elvezetéséről gondoskodni kell, az nem folyhat közterületre, vagy szomszéd telekre. A berendezések elhelyezése során figyelemmel kell lenni a zaj- és rezgésvédelmi határértékek betartására. Új épület létesítésekor  a klímaberendezések helyét előre meg kell tervezni.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k)</w:t>
        <w:tab/>
        <w:t xml:space="preserve">Lefolyócsatorna csak a falhoz rögzített kivitelben, függőlegesen helyezhető el. </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(2)</w:t>
        <w:tab/>
        <w:t>A településképi szempontból meghatározó – e Rendelet 2. melléklete szerinti lehatárolt – területen kívüli „gazdasági és ipari terület” valamint „mezőgazdasági területek” művi elemekkel érintett részére vonatkozó egyedi építészeti követelmények az alábbiak:</w:t>
      </w:r>
      <w:r>
        <w:rPr>
          <w:rFonts w:ascii="Times New Roman" w:hAnsi="Times New Roman" w:cs="Times New Roman"/>
          <w:color w:val="000000"/>
          <w:sz w:val="24"/>
          <w:szCs w:val="24"/>
          <w:lang w:eastAsia="hu-hu"/>
        </w:rPr>
        <w:t xml:space="preserve"> </w:t>
      </w:r>
      <w:r>
        <w:rPr>
          <w:rFonts w:ascii="Times New Roman" w:hAnsi="Times New Roman" w:cs="Times New Roman"/>
          <w:sz w:val="24"/>
          <w:szCs w:val="24"/>
          <w:lang w:eastAsia="hu-hu"/>
        </w:rPr>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az épületek elhelyezésére vonatkozó egyéb jogszabályokban előírt szabályokat be kell tartani.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A területen a növényállomány kiválasztásánál előnyben kell részesíteni a tájra jellemző fajokat. „Vattázó termésű” fa nem ültethető.</w:t>
      </w:r>
    </w:p>
    <w:p>
      <w:pPr>
        <w:ind w:left="1418" w:hanging="709"/>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c)</w:t>
        <w:tab/>
        <w:t>Szélkerék csak a településképi szempontból nem zavaró helyen létesíthető, településképi véleményezési eljárás lefolytatása mellett.</w:t>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spacing w:after="0" w:line="240" w:lineRule="auto"/>
        <w:jc w:val="center"/>
        <w:rPr>
          <w:rFonts w:ascii="Times New Roman" w:hAnsi="Times New Roman" w:cs="Times New Roman"/>
          <w:b/>
          <w:bCs/>
          <w:sz w:val="24"/>
          <w:szCs w:val="24"/>
          <w:lang w:eastAsia="hu-hu"/>
        </w:rPr>
      </w:pPr>
      <w:r>
        <w:rPr>
          <w:rFonts w:ascii="Times New Roman" w:hAnsi="Times New Roman" w:cs="Times New Roman"/>
          <w:b/>
          <w:bCs/>
          <w:color w:val="000000"/>
          <w:sz w:val="24"/>
          <w:szCs w:val="24"/>
          <w:lang w:eastAsia="hu-hu"/>
        </w:rPr>
        <w:t xml:space="preserve">A településképi szempontból meghatározó területek táji, természeti elemekkel </w:t>
      </w:r>
      <w:r>
        <w:rPr>
          <w:rFonts w:ascii="Times New Roman" w:hAnsi="Times New Roman" w:cs="Times New Roman"/>
          <w:b/>
          <w:bCs/>
          <w:sz w:val="24"/>
          <w:szCs w:val="24"/>
          <w:lang w:eastAsia="hu-hu"/>
        </w:rPr>
        <w:t>érintett részére vonatkozó területi és egyedi építészeti követelmények</w:t>
      </w:r>
    </w:p>
    <w:p>
      <w:pPr>
        <w:spacing w:after="0" w:line="240" w:lineRule="auto"/>
        <w:jc w:val="center"/>
        <w:rPr>
          <w:rFonts w:ascii="Times New Roman" w:hAnsi="Times New Roman" w:cs="Times New Roman"/>
          <w:b/>
          <w:bCs/>
          <w:sz w:val="24"/>
          <w:szCs w:val="24"/>
          <w:lang w:eastAsia="hu-hu"/>
        </w:rPr>
      </w:pPr>
      <w:r>
        <w:rPr>
          <w:rFonts w:ascii="Times New Roman" w:hAnsi="Times New Roman" w:cs="Times New Roman"/>
          <w:b/>
          <w:bCs/>
          <w:sz w:val="24"/>
          <w:szCs w:val="24"/>
          <w:lang w:eastAsia="hu-hu"/>
        </w:rPr>
      </w:r>
    </w:p>
    <w:p>
      <w:pPr>
        <w:spacing w:after="0" w:line="240" w:lineRule="auto"/>
        <w:jc w:val="center"/>
        <w:rPr>
          <w:rFonts w:ascii="Times New Roman" w:hAnsi="Times New Roman" w:cs="Times New Roman"/>
          <w:b/>
          <w:bCs/>
          <w:sz w:val="24"/>
          <w:szCs w:val="24"/>
          <w:lang w:eastAsia="hu-hu"/>
        </w:rPr>
      </w:pPr>
      <w:r>
        <w:rPr>
          <w:rFonts w:ascii="Times New Roman" w:hAnsi="Times New Roman" w:cs="Times New Roman"/>
          <w:b/>
          <w:bCs/>
          <w:sz w:val="24"/>
          <w:szCs w:val="24"/>
          <w:lang w:eastAsia="hu-hu"/>
        </w:rPr>
        <w:t>13. §</w:t>
      </w:r>
    </w:p>
    <w:p>
      <w:pPr>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r>
    </w:p>
    <w:p>
      <w:pPr>
        <w:ind w:left="426" w:hanging="426"/>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(1)</w:t>
        <w:tab/>
        <w:t>A településképi szempontból meghatározó területek –táji, természeti elemekkel érintett részére vonatkozó területi építészeti követelmények az alábbiak:</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a beépítés telepítési módjának tekintetében:</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aa)</w:t>
        <w:tab/>
        <w:t>a történetileg kialakult, egyedi tájjelleg megőrzését kell biztosítani;</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ab)</w:t>
        <w:tab/>
        <w:t>a tájba-simulásra legalkalmasabb helyet elfoglaló épület-elhelyezést kell alkalmazni.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a beépítés jellemző szintszámának tekintetében:</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ba)</w:t>
        <w:tab/>
        <w:t>földszintes, legfeljebb tetőtér-beépítéses;</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bb)</w:t>
        <w:tab/>
        <w:t>pinceszintet a lokális talajvízszint függvényében tartalmazó épület alakítható ki.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w:t>
        <w:tab/>
        <w:t>a kerti építmények, műtárgyak tekintetében:</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ca)</w:t>
        <w:tab/>
        <w:t>a táji látványt nem zavaró;</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cb)</w:t>
        <w:tab/>
        <w:t>a növényzettel harmonikus</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cc)</w:t>
        <w:tab/>
        <w:t>természetes anyagokból készülő;</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cd)</w:t>
        <w:tab/>
        <w:t>az épületek, építmények összhangjára ügyelő kerti építmények, műtárgyak helyezhetők el.</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d)</w:t>
        <w:tab/>
        <w:t>kerítéskialakítás tekintetében:</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da)</w:t>
        <w:tab/>
        <w:t>áttört, vagy növényekből álló kerítést kell létesíteni;</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db)</w:t>
        <w:tab/>
        <w:t>a kerítést az 12. § (1) bekezdés cb) és cc) pontjában foglalt előírások együttes figyelembevételével kell kialakítani, illetve fenntartani.</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 xml:space="preserve"> (2)</w:t>
        <w:tab/>
        <w:t>A településképi szempontból meghatározó területek táji, természeti elemekkel érintett részére vonatkozó egyedi építészeti követelmények az alábbiak:</w:t>
      </w:r>
    </w:p>
    <w:p>
      <w:pPr>
        <w:ind w:left="709" w:hanging="4"/>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a)</w:t>
        <w:tab/>
        <w:t xml:space="preserve">Az anyaghasználat, a tömegformálás, a homlokzatkialakítás, a zöldfelületek kialakítása, valamint a zöldfelületen kerti építmények és burkolatok kialakítása tekintetében a  </w:t>
      </w:r>
      <w:r>
        <w:rPr>
          <w:rFonts w:ascii="Times New Roman" w:hAnsi="Times New Roman" w:cs="Times New Roman"/>
          <w:sz w:val="24"/>
          <w:szCs w:val="24"/>
          <w:u w:color="auto" w:val="single"/>
          <w:lang w:eastAsia="hu-hu"/>
        </w:rPr>
        <w:t>12. § (1) e), f), g), h) i)</w:t>
      </w:r>
      <w:r>
        <w:rPr>
          <w:rFonts w:ascii="Times New Roman" w:hAnsi="Times New Roman" w:cs="Times New Roman"/>
          <w:color w:val="ff0000"/>
          <w:sz w:val="24"/>
          <w:szCs w:val="24"/>
          <w:u w:color="auto" w:val="single"/>
          <w:lang w:eastAsia="hu-hu"/>
        </w:rPr>
        <w:t xml:space="preserve"> </w:t>
      </w:r>
      <w:r>
        <w:rPr>
          <w:rFonts w:ascii="Times New Roman" w:hAnsi="Times New Roman" w:cs="Times New Roman"/>
          <w:color w:val="ff0000"/>
          <w:sz w:val="24"/>
          <w:szCs w:val="24"/>
          <w:lang w:eastAsia="hu-hu"/>
        </w:rPr>
        <w:t xml:space="preserve"> </w:t>
      </w:r>
      <w:r>
        <w:rPr>
          <w:rFonts w:ascii="Times New Roman" w:hAnsi="Times New Roman" w:cs="Times New Roman"/>
          <w:sz w:val="24"/>
          <w:szCs w:val="24"/>
          <w:lang w:eastAsia="hu-hu"/>
        </w:rPr>
        <w:t>kell értelemszerűen alkalmazni.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a sajátos építményfajták elhelyezési módja tekintetében – honvédelmi és katonai, továbbá nemzetbiztonsági célú, illetve rendeltetésű építmények kivételével a meglévő vonalas infrastruktúra elemek elhelyezkedését figyelembe kell venni –lehetőség esetén –, területüket, szerkezeteiket felhasználni.</w:t>
      </w:r>
    </w:p>
    <w:p>
      <w:pPr>
        <w:spacing w:after="0" w:line="240" w:lineRule="auto"/>
        <w:jc w:val="both"/>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spacing w:after="0" w:line="240" w:lineRule="auto"/>
        <w:jc w:val="center"/>
        <w:rPr>
          <w:rFonts w:ascii="Times New Roman" w:hAnsi="Times New Roman" w:cs="Times New Roman"/>
          <w:color w:val="000000"/>
          <w:sz w:val="24"/>
          <w:szCs w:val="24"/>
          <w:lang w:eastAsia="hu-hu"/>
        </w:rPr>
      </w:pPr>
      <w:r>
        <w:rPr>
          <w:rFonts w:ascii="Times New Roman" w:hAnsi="Times New Roman" w:cs="Times New Roman"/>
          <w:b/>
          <w:bCs/>
          <w:color w:val="000000"/>
          <w:sz w:val="24"/>
          <w:szCs w:val="24"/>
          <w:lang w:eastAsia="hu-hu"/>
        </w:rPr>
        <w:t>A helyi védelemben részesülő épületekre vonatkozó építészeti követelmények</w:t>
      </w:r>
      <w:r>
        <w:rPr>
          <w:rFonts w:ascii="Times New Roman" w:hAnsi="Times New Roman" w:cs="Times New Roman"/>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14. §</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(1)</w:t>
        <w:tab/>
        <w:t xml:space="preserve">Az egyedi védelem alatt álló helyi építészeti örökség épületeire vonatkozó, felújítás, átépítés során érvényesítendő, egyedi építészeti követelmények az </w:t>
      </w:r>
      <w:r>
        <w:rPr>
          <w:rFonts w:ascii="Times New Roman" w:hAnsi="Times New Roman" w:cs="Times New Roman"/>
          <w:sz w:val="24"/>
          <w:szCs w:val="24"/>
          <w:lang w:eastAsia="hu-hu"/>
        </w:rPr>
        <w:t xml:space="preserve">tekintetében </w:t>
      </w:r>
      <w:r>
        <w:rPr>
          <w:rFonts w:ascii="Times New Roman" w:hAnsi="Times New Roman" w:cs="Times New Roman"/>
          <w:color w:val="000000"/>
          <w:sz w:val="24"/>
          <w:szCs w:val="24"/>
          <w:lang w:eastAsia="hu-hu"/>
        </w:rPr>
      </w:r>
    </w:p>
    <w:p>
      <w:pPr>
        <w:ind w:left="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 xml:space="preserve">a)   </w:t>
      </w:r>
      <w:r>
        <w:rPr>
          <w:rFonts w:ascii="Times New Roman" w:hAnsi="Times New Roman" w:cs="Times New Roman"/>
          <w:sz w:val="24"/>
          <w:szCs w:val="24"/>
          <w:lang w:eastAsia="hu-hu"/>
        </w:rPr>
        <w:t>az anyaghasználat, a tömegformálás, a homlokzatkialakítás, a zöldfelületek                 kialakítása, valamint a zöldfelületen kerti építmények és burkolatok kialakítása során a 12. § (1) e), f), g), h) i) pontjait kell értelemszerűen alkalmazni.</w:t>
      </w:r>
      <w:r>
        <w:rPr>
          <w:rFonts w:ascii="Times New Roman" w:hAnsi="Times New Roman" w:cs="Times New Roman"/>
          <w:color w:val="000000"/>
          <w:sz w:val="24"/>
          <w:szCs w:val="24"/>
          <w:lang w:eastAsia="hu-hu"/>
        </w:rPr>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b/>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a sajátos építményfajták elhelyezési módja tekintetében – honvédelmi és katonai, továbbá nemzetbiztonsági célú, illetve rendeltetésű építmények kivételével – a 12.§ (1) j) pontját kell alkalmazni.</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 xml:space="preserve"> (2)</w:t>
        <w:tab/>
        <w:t>A helyi építészeti védelem alatt álló épületek átépítésénél az alábbi követelményeknek kell együttesen eleget tenni: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karaktert megtartó;</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arányrendszert megőrző;</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w:t>
        <w:tab/>
        <w:t>új elemeiben a régihez illeszkedő;</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d)</w:t>
        <w:tab/>
        <w:t>esztétikát, minőséget hozó, valamint</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e)</w:t>
        <w:tab/>
        <w:t>építészeti értéket teremtő.</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(3)</w:t>
        <w:tab/>
        <w:t>A védelem alatt álló helyi építészeti értékekhez kapcsolódó sajátos építmények, műtárgyak, egyéb műszaki berendezések anyaghasználatánál az alábbi követelményeket kell alkalmazni: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időtálló;</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minőségi;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w:t>
        <w:tab/>
        <w:t>környezetében alkalmazott anyagokhoz illeszkedő;</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d)</w:t>
        <w:tab/>
        <w:t>élénk színeket kerülő;</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e)</w:t>
        <w:tab/>
        <w:t>állagát hosszútávon megőrző;</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f)</w:t>
        <w:tab/>
        <w:t>a település karakterével összhangban lévő.</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V. FEJEZET</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center"/>
        <w:rPr>
          <w:rFonts w:ascii="Times New Roman" w:hAnsi="Times New Roman" w:cs="Times New Roman"/>
          <w:b/>
          <w:bCs/>
          <w:sz w:val="24"/>
          <w:szCs w:val="24"/>
          <w:lang w:eastAsia="hu-hu"/>
        </w:rPr>
      </w:pPr>
      <w:r>
        <w:rPr>
          <w:rFonts w:ascii="Times New Roman" w:hAnsi="Times New Roman" w:cs="Times New Roman"/>
          <w:b/>
          <w:bCs/>
          <w:sz w:val="24"/>
          <w:szCs w:val="24"/>
          <w:lang w:eastAsia="hu-hu"/>
        </w:rPr>
        <w:t>REKLÁMOK ÉS REKLÁMHORDOZÓK ELHELYEZÉSÉRE VONATKOZÓ ELŐÍRÁSOK</w:t>
      </w:r>
    </w:p>
    <w:p>
      <w:pPr>
        <w:spacing w:after="0" w:line="240" w:lineRule="auto"/>
        <w:jc w:val="center"/>
        <w:rPr>
          <w:rFonts w:ascii="Times New Roman" w:hAnsi="Times New Roman" w:cs="Times New Roman"/>
          <w:b/>
          <w:bCs/>
          <w:sz w:val="24"/>
          <w:szCs w:val="24"/>
          <w:lang w:eastAsia="hu-hu"/>
        </w:rPr>
      </w:pPr>
      <w:r>
        <w:rPr>
          <w:rFonts w:ascii="Times New Roman" w:hAnsi="Times New Roman" w:cs="Times New Roman"/>
          <w:b/>
          <w:bCs/>
          <w:sz w:val="24"/>
          <w:szCs w:val="24"/>
          <w:lang w:eastAsia="hu-hu"/>
        </w:rPr>
      </w:r>
    </w:p>
    <w:p>
      <w:pPr>
        <w:pStyle w:val="para4"/>
        <w:ind w:left="36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 reklámok elhelyezésének általános szabályai közterülten, és a közterületről látható magánterületen</w:t>
      </w:r>
    </w:p>
    <w:p>
      <w:pPr>
        <w:pStyle w:val="para4"/>
        <w:ind w:left="36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15. §</w:t>
      </w: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Csorvás város közigazgatási területén tilos a településkép védelméről szóló 2016. évi LXXIV. törvényben (a továbbiakban: Tvtv.) a településkép védelméről szóló törvény  reklámok közzétételével kapcsolatos rendelkezéseinek végrehajtásáról szóló 104/2017. (IV. 28.) Kormány rendeletben (a továbbiakban: Korm. rendelet) továbbá az e rendeletben tiltott vagy nem szabályozott reklám közzététele.</w:t>
      </w: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r>
    </w:p>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16. §</w:t>
      </w:r>
    </w:p>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r>
    </w:p>
    <w:p>
      <w:pPr>
        <w:pStyle w:val="para4"/>
        <w:ind w:left="0"/>
        <w:spacing w:after="0" w:line="240" w:lineRule="auto"/>
        <w:jc w:val="both"/>
        <w:rPr>
          <w:rFonts w:ascii="Times New Roman" w:hAnsi="Times New Roman" w:cs="Times New Roman"/>
          <w:sz w:val="24"/>
          <w:szCs w:val="24"/>
        </w:rPr>
      </w:pPr>
      <w:r>
        <w:rPr>
          <w:rFonts w:ascii="Times New Roman" w:hAnsi="Times New Roman" w:cs="Times New Roman"/>
          <w:sz w:val="24"/>
          <w:szCs w:val="24"/>
        </w:rPr>
        <w:t>(1) Közterületen elhelyezettnek minősül a közterületen lévő építmények (ide értve a közművek műtárgyait is) felületein elhelyezett hirdető-berendezés, valamint a közterület be nem épített területe fölött átfeszített reklám-felület is. Közterületen elhelyezettnek minősül minden olyan hirdető-berendezés is, amelynek tartóeleme (fal, kerítés vagy egyéb tartószerkezet) magánterületen van, de a berendezés függőleges vetülete 10 cm-t meghaladó mértékben a közterületre esik.</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Hirdetés és hirdetmény – a kézből osztott szórólap kivételével – közterületen csak hirdető-berendezésen helyezhető el.</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A közterületi építményeken (pavilon, telefonfülke, kapcsolószekrény és egyéb gépészeti berendezés felületen) elhelyezett hirdető-felületet úgy kell tekinteni, mintha az elhelyezésre szolgáló építmény a hirdető-berendezés tartószerkezete lenne. </w:t>
        <w:tab/>
        <w:br w:type="textWrapping"/>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Hirdető-berendezés építése, elhelyezése, áthelyezése, átalakítása és bővítése a jogszabályok rendelkezései szerint  az építésügyi hatósági eljárásra, illetve a településképi bejelentési eljárásra vonatkozó szabályok alapján végezhető.</w:t>
        <w:tab/>
        <w:br w:type="textWrapping"/>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A hirdető-berendezések tartó-, illetve hordozó szerkezeteit, felületeit úgy kell kialakítani, hogy azok méretei, arányai és anyagai illeszkedjenek az érintett épület (építmény), valamint egyéb felület építészeti megoldásaihoz, stílusához. Az engedélyezett, illetve – településképi bejelentési eljárás során – tervezett </w:t>
      </w:r>
      <w:r>
        <w:rPr>
          <w:rFonts w:ascii="Times New Roman" w:hAnsi="Times New Roman" w:cs="Times New Roman"/>
          <w:i/>
          <w:iCs/>
          <w:sz w:val="24"/>
          <w:szCs w:val="24"/>
        </w:rPr>
        <w:t xml:space="preserve"> </w:t>
      </w:r>
      <w:r>
        <w:rPr>
          <w:rFonts w:ascii="Times New Roman" w:hAnsi="Times New Roman" w:cs="Times New Roman"/>
          <w:sz w:val="24"/>
          <w:szCs w:val="24"/>
        </w:rPr>
        <w:t xml:space="preserve">hirdető-berendezések a </w:t>
      </w:r>
      <w:r>
        <w:rPr>
          <w:rFonts w:ascii="Times New Roman" w:hAnsi="Times New Roman" w:cs="Times New Roman"/>
          <w:i/>
          <w:iCs/>
          <w:sz w:val="24"/>
          <w:szCs w:val="24"/>
        </w:rPr>
        <w:t xml:space="preserve"> </w:t>
      </w:r>
      <w:r>
        <w:rPr>
          <w:rFonts w:ascii="Times New Roman" w:hAnsi="Times New Roman" w:cs="Times New Roman"/>
          <w:sz w:val="24"/>
          <w:szCs w:val="24"/>
        </w:rPr>
        <w:t xml:space="preserve">tudomásul vett tervnek megfelelően </w:t>
      </w:r>
      <w:r>
        <w:rPr>
          <w:rFonts w:ascii="Times New Roman" w:hAnsi="Times New Roman" w:cs="Times New Roman"/>
          <w:i/>
          <w:iCs/>
          <w:sz w:val="24"/>
          <w:szCs w:val="24"/>
        </w:rPr>
        <w:t>szerelhetők fel, és a szerkezeten belüli tényleges reklám- illetve információs felületek külön terv nélkül</w:t>
      </w:r>
      <w:r>
        <w:rPr>
          <w:rFonts w:ascii="Times New Roman" w:hAnsi="Times New Roman" w:cs="Times New Roman"/>
          <w:sz w:val="24"/>
          <w:szCs w:val="24"/>
        </w:rPr>
        <w:t xml:space="preserve"> alakíthatók ki úgy, hogy az alkalmazott tipográfia és grafika, valamint a kiválasztott színek lehetőleg illeszkedjenek az érintett épület karakteréhez.</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pStyle w:val="para4"/>
        <w:numPr>
          <w:ilvl w:val="0"/>
          <w:numId w:val="3"/>
        </w:numPr>
        <w:ind w:left="0" w:firstLine="0"/>
        <w:spacing w:after="0" w:line="240" w:lineRule="auto"/>
        <w:jc w:val="both"/>
        <w:rPr>
          <w:rFonts w:ascii="Times New Roman" w:hAnsi="Times New Roman" w:cs="Times New Roman"/>
          <w:sz w:val="24"/>
          <w:szCs w:val="24"/>
        </w:rPr>
      </w:pPr>
      <w:r>
        <w:rPr>
          <w:rFonts w:ascii="Times New Roman" w:hAnsi="Times New Roman" w:cs="Times New Roman"/>
          <w:sz w:val="24"/>
          <w:szCs w:val="24"/>
        </w:rPr>
        <w:t>Építmény homlokzatán, építési telek kerítésén, kerítéskapuján és támfalán kizárólag az ingatlan rendeltetési egységeiben folytatott kereskedelmi-, szolgáltató illetve vendéglátó tevékenységhez közvetlenül kapcsolódó hirdető-berendezés (p.l.:cég- és címtábla, cégér vagy fényreklám) létesíthető, és az építési telken is csak ilyen tartalmú önálló hirdető-berendezés helyezhető el.</w:t>
      </w:r>
    </w:p>
    <w:p>
      <w:pPr>
        <w:pStyle w:val="para4"/>
        <w:ind w:left="0"/>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A hirdető-berendezés elhelyezője köteles gondoskodni annak rendszeres karbantartásáról, és arról, hogy a berendezés ne okozzon kárt az általa érintett létesítményben, annak rendeltetésszerű használatát ne akadályozza, vagy korlátozza.</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pStyle w:val="para4"/>
        <w:ind w:left="0"/>
        <w:spacing w:after="0" w:line="240" w:lineRule="auto"/>
        <w:jc w:val="both"/>
        <w:rPr>
          <w:rFonts w:ascii="Times New Roman" w:hAnsi="Times New Roman" w:cs="Times New Roman"/>
          <w:sz w:val="24"/>
          <w:szCs w:val="24"/>
        </w:rPr>
      </w:pPr>
      <w:r>
        <w:rPr>
          <w:rFonts w:ascii="Times New Roman" w:hAnsi="Times New Roman" w:cs="Times New Roman"/>
          <w:sz w:val="24"/>
          <w:szCs w:val="24"/>
        </w:rPr>
        <w:t>(8) Hirdető-berendezés általában csak építményre, kerítésre, támfalra, illetve egyéb tartószerkezetre szerelve (rögzítve vagy feszítve) helyezhető el. Mozgó felületet tartalmazó önálló hirdető-berendezés csak ott és csak úgy telepíthető, hogy az a közlekedés biztonságát ne veszélyeztesse.</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 Hirdető-berendezés nem helyezhető el</w:t>
      </w:r>
    </w:p>
    <w:p>
      <w:pPr>
        <w:pStyle w:val="para4"/>
        <w:ind w:left="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a többszintes épület párkányán, erkélyén, vagy a  </w:t>
      </w:r>
      <w:r>
        <w:rPr>
          <w:rFonts w:ascii="Times New Roman" w:hAnsi="Times New Roman" w:cs="Times New Roman"/>
          <w:i/>
          <w:iCs/>
          <w:sz w:val="24"/>
          <w:szCs w:val="24"/>
        </w:rPr>
        <w:t>loggián;</w:t>
      </w: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 a közterületi szilárd burkolaton;</w:t>
      </w:r>
    </w:p>
    <w:p>
      <w:pPr>
        <w:pStyle w:val="para4"/>
        <w:ind w:left="0"/>
        <w:spacing w:after="0" w:line="240" w:lineRule="auto"/>
        <w:jc w:val="both"/>
        <w:rPr>
          <w:rFonts w:ascii="Times New Roman" w:hAnsi="Times New Roman" w:cs="Times New Roman"/>
          <w:sz w:val="24"/>
          <w:szCs w:val="24"/>
        </w:rPr>
      </w:pPr>
      <w:r>
        <w:rPr>
          <w:rFonts w:ascii="Times New Roman" w:hAnsi="Times New Roman" w:cs="Times New Roman"/>
          <w:sz w:val="24"/>
          <w:szCs w:val="24"/>
        </w:rPr>
        <w:t>c) a közterületen álló padon vagy fán;</w:t>
      </w:r>
    </w:p>
    <w:p>
      <w:pPr>
        <w:pStyle w:val="para4"/>
        <w:ind w:left="0"/>
        <w:spacing w:after="0" w:line="240" w:lineRule="auto"/>
        <w:jc w:val="both"/>
        <w:rPr>
          <w:rFonts w:ascii="Times New Roman" w:hAnsi="Times New Roman" w:cs="Times New Roman"/>
          <w:sz w:val="24"/>
          <w:szCs w:val="24"/>
        </w:rPr>
      </w:pPr>
      <w:r>
        <w:rPr>
          <w:rFonts w:ascii="Times New Roman" w:hAnsi="Times New Roman" w:cs="Times New Roman"/>
          <w:sz w:val="24"/>
          <w:szCs w:val="24"/>
        </w:rPr>
        <w:t>d) a szobrokon vagy emlékműveken;</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 a közparkokban, továbbá a régészeti, és a helyi építészeti- és  a helyi természeti védelem alatt álló területeken,  objektumokon.</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 A magántulajdonban lévő ingatlanon elhelyezett reklámhordozó a telekhatárt nem keresztezheti, és közvetlenül a telekhatáron nem helyezhető el.</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Egy adott útszakasz menetirány szerinti azonos oldalán ötven méteren belül további reklámhordozó nem helyezhető el. A tilalom nem vonatkozik a reklámközzétételre nem használt információs célú berendezésekre, a funkcionális célú utcabútorokra, és közérdekű reklámfelületekre, továbbá az építési reklámhálóra.</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Reklámhordozó megvilágítása céljából kizárólag 80 lumen/Watt mértéket meghaladó hatékonyságú, statikus, meleg fehér színű fényforrások használhatók.</w:t>
      </w:r>
    </w:p>
    <w:p>
      <w:pPr>
        <w:ind w:left="360"/>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 Hirdető-berendezésen nem alkalmazható a KRESZ-ben szereplő táblaforma és színösszeállítás, valamint az azokra szabványosított tipográfia és jelrendszer, továbbá olyan világítótest, amely a közlekedés biztonságát veszélyeztetheti.</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 A reklám analóg és digitális felületen, állandó és változó tartalommal is közzétehető.</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 Reklámzászlók kifeszítése csak időszakosan, rendezvények, ünnepségek alkalmával engedélyezhető, maximum 15 napi időtartamra.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 Megállító tábla szolgáltató egységenként legfeljebb 1 db, és legfeljebb 1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nagyságban helyezhető el abban az esetben, ha nem gátolja a gyalogos és a közúti közlekedést.</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 Megállító tábla a szolgáltató egység bejáratától legfeljebb 10 m-es körzetben, és csak a nyitva tartás ideje alatt helyezhető el.</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 A közérdekű molinó, az építési reklámháló és a közterület fölé nyúló árnyékoló berendezés kivételével molinó, ponyva vagy háló reklámhordozóként, reklámhordozót tartó berendezésként nem alkalmazható.</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 A reklámhordozóknak elhelyezésük tekintetében a hagyományosan kialakult településképhez kell illeszkedniük.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 A 2 m</w:t>
      </w:r>
      <w:r>
        <w:rPr>
          <w:rFonts w:ascii="Times New Roman" w:hAnsi="Times New Roman" w:cs="Times New Roman"/>
          <w:sz w:val="24"/>
          <w:szCs w:val="24"/>
          <w:vertAlign w:val="superscript"/>
        </w:rPr>
        <w:t>2</w:t>
      </w:r>
      <w:r>
        <w:rPr>
          <w:rFonts w:ascii="Times New Roman" w:hAnsi="Times New Roman" w:cs="Times New Roman"/>
          <w:sz w:val="24"/>
          <w:szCs w:val="24"/>
        </w:rPr>
        <w:t>-nél nagyobb felületű hirdető berendezéseken tartós kivitelben fel kell tüntetni a tulajdonos adatait, név, cím, telefonszám megjelölésével.</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ind w:left="426" w:hanging="426"/>
        <w:spacing w:after="0" w:line="240" w:lineRule="auto"/>
        <w:jc w:val="both"/>
        <w:rPr>
          <w:rFonts w:ascii="Times New Roman" w:hAnsi="Times New Roman" w:cs="Times New Roman"/>
          <w:sz w:val="24"/>
          <w:szCs w:val="24"/>
          <w:lang w:eastAsia="hu-hu"/>
        </w:rPr>
      </w:pPr>
      <w:r>
        <w:rPr>
          <w:rFonts w:ascii="Times New Roman" w:hAnsi="Times New Roman" w:cs="Times New Roman"/>
          <w:i/>
          <w:iCs/>
          <w:sz w:val="24"/>
          <w:szCs w:val="24"/>
          <w:lang w:eastAsia="hu-hu"/>
        </w:rPr>
        <w:t>(21)</w:t>
        <w:tab/>
        <w:t xml:space="preserve"> </w:t>
      </w:r>
      <w:r>
        <w:rPr>
          <w:rFonts w:ascii="Times New Roman" w:hAnsi="Times New Roman" w:cs="Times New Roman"/>
          <w:sz w:val="24"/>
          <w:szCs w:val="24"/>
          <w:lang w:eastAsia="hu-hu"/>
        </w:rPr>
        <w:t>Saját vállalkozást népszerűsítő berendezés, felület tulajdonosa köteles gondoskodni annak rendszeres karbantartásáról.</w:t>
      </w:r>
    </w:p>
    <w:p>
      <w:pPr>
        <w:ind w:left="426" w:hanging="426"/>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(22)</w:t>
        <w:tab/>
        <w:t xml:space="preserve"> Ha a saját vállalkozást népszerűsítő berendezés tulajdonosa a (21) bekezdés szerinti kötelezettségének nem tesz eleget és azt felszólításra sem teljesíti, úgy a polgármester településképi kötelezés keretében előírhatja a berendezés leszerelését, a felület megszüntetését.</w:t>
      </w:r>
    </w:p>
    <w:p>
      <w:pPr>
        <w:ind w:left="426" w:hanging="426"/>
        <w:spacing w:after="0" w:line="240" w:lineRule="auto"/>
        <w:jc w:val="both"/>
        <w:rPr>
          <w:rFonts w:ascii="Times New Roman" w:hAnsi="Times New Roman" w:cs="Times New Roman"/>
          <w:i/>
          <w:iCs/>
          <w:sz w:val="24"/>
          <w:szCs w:val="24"/>
          <w:lang w:eastAsia="hu-hu"/>
        </w:rPr>
      </w:pPr>
      <w:r>
        <w:rPr>
          <w:rFonts w:ascii="Times New Roman" w:hAnsi="Times New Roman" w:cs="Times New Roman"/>
          <w:i/>
          <w:iCs/>
          <w:sz w:val="24"/>
          <w:szCs w:val="24"/>
          <w:lang w:eastAsia="hu-hu"/>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pStyle w:val="para4"/>
        <w:ind w:left="36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 közterület használatára vonatkozó szabályok</w:t>
      </w:r>
    </w:p>
    <w:p>
      <w:pPr>
        <w:pStyle w:val="para4"/>
        <w:ind w:left="36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17. §</w:t>
      </w:r>
    </w:p>
    <w:p>
      <w:pPr>
        <w:pStyle w:val="para4"/>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r>
    </w:p>
    <w:p>
      <w:pPr>
        <w:spacing w:after="0" w:line="240" w:lineRule="auto"/>
        <w:jc w:val="both"/>
        <w:rPr>
          <w:rFonts w:ascii="Times New Roman" w:hAnsi="Times New Roman" w:cs="Times New Roman"/>
          <w:highlight w:val="yellow"/>
          <w:sz w:val="24"/>
          <w:szCs w:val="24"/>
        </w:rPr>
      </w:pPr>
      <w:r>
        <w:rPr>
          <w:rFonts w:ascii="Times New Roman" w:hAnsi="Times New Roman" w:cs="Times New Roman"/>
          <w:highlight w:val="yellow"/>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A hirdető-berendezés közterületen való elhelyezésére vonatkozó engedélyezési eljárás során megfelelően alkalmazni kell Csorvás Város Önkormányzata Képviselő-testületének a közterületek használatáról és a közterület-használati díj megállapításáról szóló 11/1994 (VI.9.) önkormányzati rendelete szabályait.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ind w:left="426" w:hanging="426"/>
        <w:spacing w:after="0" w:line="240" w:lineRule="auto"/>
        <w:jc w:val="both"/>
        <w:tabs>
          <w:tab w:val="left" w:pos="1080" w:leader="none"/>
        </w:tabs>
        <w:rPr>
          <w:rFonts w:ascii="Times New Roman" w:hAnsi="Times New Roman" w:cs="Times New Roman"/>
          <w:sz w:val="24"/>
          <w:szCs w:val="24"/>
          <w:lang w:eastAsia="hu-hu"/>
        </w:rPr>
      </w:pPr>
      <w:r>
        <w:rPr>
          <w:rFonts w:ascii="Times New Roman" w:hAnsi="Times New Roman" w:cs="Times New Roman"/>
          <w:sz w:val="24"/>
          <w:szCs w:val="24"/>
          <w:lang w:eastAsia="hu-hu"/>
        </w:rPr>
        <w:t>(2)</w:t>
        <w:tab/>
        <w:t>Közterületen információs hirdető-berendezést – függetlenül annak méretétől és szerkezetétől – a jogszabályi tilalmakra is figyelemmel úgy kell elhelyezni, hogy az ne akadályozza a közterület más részei és a szomszédos ingatlanok rendeltetésszerű használatát, valamint ne sértse a szomszédok jogait és törvényes érdekeit.</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sz w:val="24"/>
          <w:szCs w:val="24"/>
          <w:lang w:eastAsia="hu-hu"/>
        </w:rPr>
        <w:t>(3))</w:t>
        <w:tab/>
        <w:t xml:space="preserve">Legfeljebb 11 m2 nagyságú közterületi információs hirdető-berendezés létesíthető az </w:t>
      </w:r>
      <w:r>
        <w:rPr>
          <w:rFonts w:ascii="Times New Roman" w:hAnsi="Times New Roman" w:cs="Times New Roman"/>
          <w:color w:val="000000"/>
          <w:sz w:val="24"/>
          <w:szCs w:val="24"/>
          <w:lang w:eastAsia="hu-hu"/>
        </w:rPr>
        <w:t xml:space="preserve">Országos közutak külterületi szakaszain. </w:t>
      </w:r>
    </w:p>
    <w:p>
      <w:pPr>
        <w:ind w:left="426" w:hanging="426"/>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(4)</w:t>
        <w:tab/>
        <w:t xml:space="preserve">Legfeljebb 1,5 m2 nagyságú közterületi információs hirdető-berendezés a város teljes területén létesíthető: </w:t>
      </w:r>
    </w:p>
    <w:p>
      <w:pPr>
        <w:ind w:left="426" w:hanging="426"/>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 xml:space="preserve"> (5)</w:t>
        <w:tab/>
        <w:t>Apróhirdetések, hirdetmények közzétételére alkalmas, legfeljebb 1,5 m2 területű, információs hirdető-berendezés-, közművelődési célú hirdetőoszlop a település teljes igazgatási területén elhelyezhető.</w:t>
      </w:r>
    </w:p>
    <w:p>
      <w:pPr>
        <w:ind w:left="426" w:hanging="426"/>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(6)</w:t>
        <w:tab/>
        <w:t>Közterületi információs hirdető-berendezés, közművelődési célú hirdetőoszlop a település teljes közigazgatási területén csak egységes kivitelben készülhet, az önkormányzat által jóváhagyott terv szerint.</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pStyle w:val="para4"/>
        <w:ind w:left="36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 funkcionális célokat szolgáló utcabútorokra vonatkozó szabályok</w:t>
      </w:r>
    </w:p>
    <w:p>
      <w:pPr>
        <w:pStyle w:val="para4"/>
        <w:ind w:left="36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18.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A település  területén kizárólag olyan funkcionális célokat szolgáló utcabútor helyezhető el, amely illeszkedik a települési környezethez.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A funkcionális célú utcabútor esetén kizárólag az utcabútor felülete vehető igénybe reklámközzététel céljából.</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A funkcionális célú utcabútoron reklámhordozót tartó berendezés – az utasváróban és a kioszkon elhelyezett CityLight formátumú eszköz kivételével – nem helyezhető el.</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A funkcionális célokat szolgáló utcabútorként létesített információs célú berendezés reklámközzétételre alkalmas felületének legfeljebb kétharmadán tehető közzé reklám.</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r>
    </w:p>
    <w:p>
      <w:pPr>
        <w:pStyle w:val="para4"/>
        <w:ind w:left="36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Egyes utcabútorok elhelyezésére vonatkozó különleges szabályok</w:t>
      </w:r>
    </w:p>
    <w:p>
      <w:pPr>
        <w:pStyle w:val="para4"/>
        <w:ind w:left="36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19.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Csorvás város közigazgatási területén kizárólag olyan utasváró létesíthető, amely fedett, és legalább 3 oldalról zárt, vagy félig zárt térelhatároló szerkezettel rendelkezik. Az építményt a településképi arculatnak megfelelően kell kialakítani.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Csorvás város közigazgatási területén kizárólag a településképi arculatnak megfelelően  kialakított kioszk létesíthető.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Az információs célú berendezés az alábbi, gazdasági reklámnak nem minősülő információk közlésére létesíthető:</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pStyle w:val="para4"/>
        <w:numPr>
          <w:ilvl w:val="0"/>
          <w:numId w:val="2"/>
        </w:numPr>
        <w:ind w:left="720" w:hanging="360"/>
        <w:spacing w:after="0" w:line="240" w:lineRule="auto"/>
        <w:jc w:val="both"/>
        <w:rPr>
          <w:rFonts w:ascii="Times New Roman" w:hAnsi="Times New Roman" w:cs="Times New Roman"/>
          <w:sz w:val="24"/>
          <w:szCs w:val="24"/>
        </w:rPr>
      </w:pPr>
      <w:r>
        <w:rPr>
          <w:rFonts w:ascii="Times New Roman" w:hAnsi="Times New Roman" w:cs="Times New Roman"/>
          <w:sz w:val="24"/>
          <w:szCs w:val="24"/>
        </w:rPr>
        <w:t>az önkormányzat működési körébe tartozó információk;</w:t>
      </w:r>
    </w:p>
    <w:p>
      <w:pPr>
        <w:pStyle w:val="para4"/>
        <w:numPr>
          <w:ilvl w:val="0"/>
          <w:numId w:val="2"/>
        </w:numPr>
        <w:ind w:left="720" w:hanging="360"/>
        <w:spacing w:after="0" w:line="240" w:lineRule="auto"/>
        <w:jc w:val="both"/>
        <w:rPr>
          <w:rFonts w:ascii="Times New Roman" w:hAnsi="Times New Roman" w:cs="Times New Roman"/>
          <w:sz w:val="24"/>
          <w:szCs w:val="24"/>
        </w:rPr>
      </w:pPr>
      <w:r>
        <w:rPr>
          <w:rFonts w:ascii="Times New Roman" w:hAnsi="Times New Roman" w:cs="Times New Roman"/>
          <w:sz w:val="24"/>
          <w:szCs w:val="24"/>
        </w:rPr>
        <w:t>a település szempontjából jelentős eseményekkel kapcsolatos információk;</w:t>
      </w:r>
    </w:p>
    <w:p>
      <w:pPr>
        <w:pStyle w:val="para4"/>
        <w:numPr>
          <w:ilvl w:val="0"/>
          <w:numId w:val="2"/>
        </w:numPr>
        <w:ind w:left="720" w:hanging="360"/>
        <w:spacing w:after="0" w:line="240" w:lineRule="auto"/>
        <w:jc w:val="both"/>
        <w:rPr>
          <w:rFonts w:ascii="Times New Roman" w:hAnsi="Times New Roman" w:cs="Times New Roman"/>
          <w:sz w:val="24"/>
          <w:szCs w:val="24"/>
        </w:rPr>
      </w:pPr>
      <w:r>
        <w:rPr>
          <w:rFonts w:ascii="Times New Roman" w:hAnsi="Times New Roman" w:cs="Times New Roman"/>
          <w:sz w:val="24"/>
          <w:szCs w:val="24"/>
        </w:rPr>
        <w:t>a településen elérhető szolgáltatásokkal, ügyintézési lehetőségekkel kapcsolatos tájékoztatás nyújtása;</w:t>
      </w:r>
    </w:p>
    <w:p>
      <w:pPr>
        <w:pStyle w:val="para4"/>
        <w:numPr>
          <w:ilvl w:val="0"/>
          <w:numId w:val="2"/>
        </w:numPr>
        <w:ind w:left="720" w:hanging="360"/>
        <w:spacing w:after="0" w:line="240" w:lineRule="auto"/>
        <w:jc w:val="both"/>
        <w:rPr>
          <w:rFonts w:ascii="Times New Roman" w:hAnsi="Times New Roman" w:cs="Times New Roman"/>
          <w:sz w:val="24"/>
          <w:szCs w:val="24"/>
        </w:rPr>
      </w:pPr>
      <w:r>
        <w:rPr>
          <w:rFonts w:ascii="Times New Roman" w:hAnsi="Times New Roman" w:cs="Times New Roman"/>
          <w:sz w:val="24"/>
          <w:szCs w:val="24"/>
        </w:rPr>
        <w:t>idegenforgalmi és közlekedési információk;</w:t>
      </w:r>
    </w:p>
    <w:p>
      <w:pPr>
        <w:pStyle w:val="para4"/>
        <w:numPr>
          <w:ilvl w:val="0"/>
          <w:numId w:val="2"/>
        </w:numPr>
        <w:ind w:left="720" w:hanging="360"/>
        <w:spacing w:after="0" w:line="240" w:lineRule="auto"/>
        <w:jc w:val="both"/>
        <w:rPr>
          <w:rFonts w:ascii="Times New Roman" w:hAnsi="Times New Roman" w:cs="Times New Roman"/>
          <w:sz w:val="24"/>
          <w:szCs w:val="24"/>
        </w:rPr>
      </w:pPr>
      <w:r>
        <w:rPr>
          <w:rFonts w:ascii="Times New Roman" w:hAnsi="Times New Roman" w:cs="Times New Roman"/>
          <w:sz w:val="24"/>
          <w:szCs w:val="24"/>
        </w:rPr>
        <w:t>a társadalom egészét vagy széles rétegeit érintő, közérdekű információk;</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Az információs célú berendezés felületének legfeljebb kétharmada vehető igénybe reklám közzétételére, felületének legalább egyharmada közérdekű információt kell, hogy tartalmazzon.</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A más célú berendezés reklámcélra nem használható, kivéve a közterület fölé nyúló árnyékoló berendezést. A közterület fölé nyúló árnyékoló berendezés egész felülete hasznosítható reklámcélra.</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pStyle w:val="para4"/>
        <w:ind w:left="36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 reklámhordozókra, és a  reklámhordozó berendezésekre vonatkozó követelmények</w:t>
      </w:r>
    </w:p>
    <w:p>
      <w:pPr>
        <w:pStyle w:val="para4"/>
        <w:ind w:left="36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Csorvás város közterületein reklámhordozón </w:t>
      </w: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r>
    </w:p>
    <w:p>
      <w:pPr>
        <w:pStyle w:val="para4"/>
        <w:numPr>
          <w:ilvl w:val="0"/>
          <w:numId w:val="1"/>
        </w:numPr>
        <w:ind w:left="720" w:hanging="360"/>
        <w:spacing w:after="0" w:line="240" w:lineRule="auto"/>
        <w:jc w:val="both"/>
        <w:rPr>
          <w:rFonts w:ascii="Times New Roman" w:hAnsi="Times New Roman" w:cs="Times New Roman"/>
          <w:sz w:val="24"/>
          <w:szCs w:val="24"/>
        </w:rPr>
      </w:pPr>
      <w:r>
        <w:rPr>
          <w:rFonts w:ascii="Times New Roman" w:hAnsi="Times New Roman" w:cs="Times New Roman"/>
          <w:sz w:val="24"/>
          <w:szCs w:val="24"/>
        </w:rPr>
        <w:t>horganyozott és szinterezett acélból, vagy szinterezett alumíniumból készült eszközön;</w:t>
      </w:r>
    </w:p>
    <w:p>
      <w:pPr>
        <w:pStyle w:val="para4"/>
        <w:numPr>
          <w:ilvl w:val="0"/>
          <w:numId w:val="1"/>
        </w:numPr>
        <w:ind w:left="720" w:hanging="360"/>
        <w:spacing w:after="0" w:line="240" w:lineRule="auto"/>
        <w:jc w:val="both"/>
        <w:rPr>
          <w:rFonts w:ascii="Times New Roman" w:hAnsi="Times New Roman" w:cs="Times New Roman"/>
          <w:sz w:val="24"/>
          <w:szCs w:val="24"/>
        </w:rPr>
      </w:pPr>
      <w:r>
        <w:rPr>
          <w:rFonts w:ascii="Times New Roman" w:hAnsi="Times New Roman" w:cs="Times New Roman"/>
          <w:sz w:val="24"/>
          <w:szCs w:val="24"/>
        </w:rPr>
        <w:t>plexi vagy biztonsági üveg mögött;</w:t>
      </w:r>
    </w:p>
    <w:p>
      <w:pPr>
        <w:pStyle w:val="para4"/>
        <w:numPr>
          <w:ilvl w:val="0"/>
          <w:numId w:val="1"/>
        </w:numPr>
        <w:ind w:left="720" w:hanging="360"/>
        <w:spacing w:after="0" w:line="240" w:lineRule="auto"/>
        <w:jc w:val="both"/>
        <w:rPr>
          <w:rFonts w:ascii="Times New Roman" w:hAnsi="Times New Roman" w:cs="Times New Roman"/>
          <w:sz w:val="24"/>
          <w:szCs w:val="24"/>
        </w:rPr>
      </w:pPr>
      <w:r>
        <w:rPr>
          <w:rFonts w:ascii="Times New Roman" w:hAnsi="Times New Roman" w:cs="Times New Roman"/>
          <w:sz w:val="24"/>
          <w:szCs w:val="24"/>
        </w:rPr>
        <w:t>hátsó fényforrás által megvilágított eszközben;</w:t>
      </w:r>
    </w:p>
    <w:p>
      <w:pPr>
        <w:pStyle w:val="para4"/>
        <w:numPr>
          <w:ilvl w:val="0"/>
          <w:numId w:val="1"/>
        </w:numPr>
        <w:ind w:left="720" w:hanging="36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állandó és változó tartalmat is megjelenítő eszközön; </w:t>
      </w:r>
    </w:p>
    <w:p>
      <w:pPr>
        <w:pStyle w:val="para4"/>
        <w:numPr>
          <w:ilvl w:val="0"/>
          <w:numId w:val="1"/>
        </w:numPr>
        <w:ind w:left="720" w:hanging="36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egymástól számított 2 méteres távolságon belül – ide nem értve az egyetlen funkcionális célú utcabútoron történő több reklámhordozó elhelyezését – sem horizontálisan, sem vertikálisan nem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helyezhető el.</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A közérdekű reklámfelületen, az utasváró és a kioszk kivételével a reklám elhelyezésére szolgáló reklámhordozón kialakítható reklámfelület legalább egyharmadán Csorvás Város Önkormányzata az információs célú berendezésekre megállapított információk közzétételére jogosult.</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Közművelődési célú hirdetőoszlop létesítése</w:t>
      </w:r>
    </w:p>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21. §</w:t>
      </w: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A Csorvás város közigazgatási területén működő közművelődési intézmények közművelődési célú hirdetőoszlop használatára jogosultak.</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Csorvás város közigazgatási területén a közművelődési intézmények számának kétszeresével megegyező számú közművelődési célú hirdetőoszlop létesíthető. A közművelődési célú hirdetőoszlop reklám közzétételére igénybe vehető felülete a  teljes felület kétharmadát nem haladhatja meg.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Településképi szempontból meghatározó közterületen – a Szabadság téri parkban, és a Rákóczi utca 15-17. számú ingatlanok előtti közterületen - nem helyezhető elő közművelődési célú hirdetőoszlop.</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A közművelődési intézmény településképi bejelentési eljárásban kezdeményezheti a közművelődési hirdetőoszlop létesítését. </w:t>
      </w: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Eltérés a reklámok elhelyezésére vonatkozó szabályoktól</w:t>
      </w:r>
    </w:p>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r>
    </w:p>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r>
    </w:p>
    <w:p>
      <w:pPr>
        <w:pStyle w:val="para4"/>
        <w:ind w:left="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Eltérés a jelentősnek minősített eseményről való tájékoztatás érdekében</w:t>
      </w:r>
    </w:p>
    <w:p>
      <w:pPr>
        <w:pStyle w:val="para4"/>
        <w:ind w:left="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22. §</w:t>
      </w: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A polgármester a jelentősnek minősített eseményről való tájékoztatás érdekében, a jelentősnek minősített esemény időtartamára, legfeljebb azonban naptári évente maximum tizenkét hét időtartamra a reklámot közzétevőnek  a településképi bejelentési eljárás lefolytatására irányuló írásbeli kérelmével egyidejűleg előterjesztett kezdeményezésére a településképi bejelentési eljárás szabályaitól eltérést alkalmazhat.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A polgármester (1) bekezdés szerinti döntése nem pótolja, illetve nem helyettesíti a reklám közzétételéhez szükséges, az önkormányzat rendeleténél magasabb szintű jogszabályban előírt egyéb hatósági engedélyeket, melyeknek a beszerzése a reklám közzétevőjének kötelessége.</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pStyle w:val="para4"/>
        <w:ind w:left="360"/>
        <w:spacing w:after="200" w:line="276" w:lineRule="auto"/>
        <w:jc w:val="center"/>
        <w:rPr>
          <w:rFonts w:ascii="Times New Roman" w:hAnsi="Times New Roman" w:cs="Times New Roman"/>
          <w:b/>
          <w:bCs/>
          <w:sz w:val="24"/>
          <w:szCs w:val="24"/>
        </w:rPr>
      </w:pPr>
      <w:r>
        <w:rPr>
          <w:rFonts w:ascii="Times New Roman" w:hAnsi="Times New Roman" w:cs="Times New Roman"/>
          <w:b/>
          <w:bCs/>
          <w:sz w:val="24"/>
          <w:szCs w:val="24"/>
        </w:rPr>
        <w:t>Építési reklámháló kihelyezésének engedélyezése</w:t>
      </w:r>
    </w:p>
    <w:p>
      <w:pPr>
        <w:pStyle w:val="para4"/>
        <w:ind w:left="360"/>
        <w:spacing w:after="200" w:line="276" w:lineRule="auto"/>
        <w:jc w:val="center"/>
        <w:rPr>
          <w:rFonts w:ascii="Times New Roman" w:hAnsi="Times New Roman" w:cs="Times New Roman"/>
          <w:b/>
          <w:bCs/>
          <w:sz w:val="24"/>
          <w:szCs w:val="24"/>
        </w:rPr>
      </w:pPr>
      <w:r>
        <w:rPr>
          <w:rFonts w:ascii="Times New Roman" w:hAnsi="Times New Roman" w:cs="Times New Roman"/>
          <w:b/>
          <w:bCs/>
          <w:sz w:val="24"/>
          <w:szCs w:val="24"/>
        </w:rPr>
        <w:t>23. §</w:t>
      </w:r>
    </w:p>
    <w:p>
      <w:pPr>
        <w:spacing w:after="200" w:line="276" w:lineRule="auto"/>
        <w:rPr>
          <w:rFonts w:ascii="Times New Roman" w:hAnsi="Times New Roman" w:cs="Times New Roman"/>
          <w:sz w:val="24"/>
          <w:szCs w:val="24"/>
        </w:rPr>
      </w:pPr>
      <w:r>
        <w:rPr>
          <w:rFonts w:ascii="Times New Roman" w:hAnsi="Times New Roman" w:cs="Times New Roman"/>
          <w:sz w:val="24"/>
          <w:szCs w:val="24"/>
        </w:rPr>
        <w:t>(1) A polgármester – településképi bejelentési eljárásban - az építési tevékenység építési naplóval igazolt megkezdésétől az építési tevékenység időtartamára építési reklámháló kihelyezését engedélyezheti.</w:t>
      </w:r>
    </w:p>
    <w:p>
      <w:pPr>
        <w:spacing w:after="0" w:line="276"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 A polgármester kivételesen, különösen az építési tevékenység folytán a településkép várható javulására tekintettel az (1) bekezdés szerinti határidőt legfeljebb egy alkalommal  és maximum 3 hónappal meghosszabbíthatja, amennyiben a kérelmező az ilyen tartalmú kérelmét legkésőbb az (1) bekezdés szerinti időtartam lejártát megelőző 30 nappal korábban</w:t>
      </w:r>
      <w:r>
        <w:rPr>
          <w:rFonts w:ascii="Times New Roman" w:hAnsi="Times New Roman" w:cs="Times New Roman"/>
          <w:b/>
          <w:bCs/>
          <w:sz w:val="24"/>
          <w:szCs w:val="24"/>
        </w:rPr>
        <w:t xml:space="preserve"> </w:t>
      </w:r>
      <w:r>
        <w:rPr>
          <w:rFonts w:ascii="Times New Roman" w:hAnsi="Times New Roman" w:cs="Times New Roman"/>
          <w:sz w:val="24"/>
          <w:szCs w:val="24"/>
        </w:rPr>
        <w:t>benyújtja.</w:t>
      </w:r>
    </w:p>
    <w:p>
      <w:pPr>
        <w:spacing w:after="0" w:line="276"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Egy épület azonos közterületre néző homlokzatán kizárólag egy építési reklámháló helyezhető el.</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ind w:firstLine="180"/>
        <w:spacing w:after="20" w:line="240" w:lineRule="auto"/>
        <w:jc w:val="center"/>
        <w:rPr>
          <w:rFonts w:ascii="Times New Roman" w:hAnsi="Times New Roman" w:cs="Times New Roman"/>
          <w:b/>
          <w:bCs/>
          <w:sz w:val="24"/>
          <w:szCs w:val="24"/>
          <w:lang w:eastAsia="hu-hu"/>
        </w:rPr>
      </w:pPr>
      <w:r>
        <w:rPr>
          <w:rFonts w:ascii="Times New Roman" w:hAnsi="Times New Roman" w:cs="Times New Roman"/>
          <w:b/>
          <w:bCs/>
          <w:sz w:val="24"/>
          <w:szCs w:val="24"/>
          <w:lang w:eastAsia="hu-hu"/>
        </w:rPr>
        <w:t>A településképi bejelentési eljárás a reklámok és reklámhordozók elhelyezésére</w:t>
      </w:r>
    </w:p>
    <w:p>
      <w:pPr>
        <w:ind w:firstLine="180"/>
        <w:spacing w:after="20" w:line="240" w:lineRule="auto"/>
        <w:jc w:val="center"/>
        <w:rPr>
          <w:rFonts w:ascii="Times New Roman" w:hAnsi="Times New Roman" w:cs="Times New Roman"/>
          <w:b/>
          <w:bCs/>
          <w:sz w:val="24"/>
          <w:szCs w:val="24"/>
          <w:lang w:eastAsia="hu-hu"/>
        </w:rPr>
      </w:pPr>
      <w:r>
        <w:rPr>
          <w:rFonts w:ascii="Times New Roman" w:hAnsi="Times New Roman" w:cs="Times New Roman"/>
          <w:b/>
          <w:bCs/>
          <w:sz w:val="24"/>
          <w:szCs w:val="24"/>
          <w:lang w:eastAsia="hu-hu"/>
        </w:rPr>
        <w:t>24. §</w:t>
      </w:r>
    </w:p>
    <w:p>
      <w:pPr>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r>
    </w:p>
    <w:p>
      <w:pPr>
        <w:spacing w:after="0" w:line="240" w:lineRule="auto"/>
        <w:jc w:val="both"/>
        <w:rPr>
          <w:rFonts w:ascii="Times New Roman" w:hAnsi="Times New Roman" w:cs="Times New Roman"/>
          <w:sz w:val="24"/>
          <w:szCs w:val="24"/>
        </w:rPr>
      </w:pPr>
      <w:r>
        <w:rPr>
          <w:lang w:eastAsia="hu-hu"/>
        </w:rPr>
        <w:br w:type="textWrapping"/>
      </w:r>
      <w:r>
        <w:rPr>
          <w:rFonts w:ascii="Times New Roman" w:hAnsi="Times New Roman" w:cs="Times New Roman"/>
          <w:sz w:val="24"/>
          <w:szCs w:val="24"/>
          <w:lang w:eastAsia="hu-hu"/>
        </w:rPr>
        <w:t xml:space="preserve">(1) </w:t>
      </w:r>
      <w:r>
        <w:rPr>
          <w:rFonts w:ascii="Times New Roman" w:hAnsi="Times New Roman" w:cs="Times New Roman"/>
          <w:sz w:val="24"/>
          <w:szCs w:val="24"/>
        </w:rPr>
        <w:t xml:space="preserve">A polgármester - a reklámok és reklámhordozók elhelyezését megelőzően - településképi bejelentési eljárást folytat le a Korm. rendeletben szereplő általános településképi követelmények és az e rendeletben foglaltak alapján a reklámok és reklámhordozók elhelyezési követelményeinek teljesülése tekintetében. </w:t>
      </w:r>
    </w:p>
    <w:p>
      <w:pPr>
        <w:spacing w:after="0" w:line="240" w:lineRule="auto"/>
        <w:jc w:val="both"/>
        <w:tabs>
          <w:tab w:val="left" w:pos="0" w:leader="none"/>
        </w:tabs>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tabs>
          <w:tab w:val="left" w:pos="0" w:leader="none"/>
        </w:tabs>
        <w:rPr>
          <w:rFonts w:ascii="Times New Roman" w:hAnsi="Times New Roman" w:cs="Times New Roman"/>
          <w:sz w:val="24"/>
          <w:szCs w:val="24"/>
        </w:rPr>
      </w:pPr>
      <w:r>
        <w:rPr>
          <w:rFonts w:ascii="Times New Roman" w:hAnsi="Times New Roman" w:cs="Times New Roman"/>
          <w:sz w:val="24"/>
          <w:szCs w:val="24"/>
        </w:rPr>
        <w:t xml:space="preserve">(2) A bejelentés tudomásul vételének hatálya az annak közlésétől számított egy évig áll fenn. </w:t>
      </w:r>
    </w:p>
    <w:p>
      <w:pPr>
        <w:spacing w:after="0" w:line="240" w:lineRule="auto"/>
        <w:jc w:val="both"/>
        <w:tabs>
          <w:tab w:val="left" w:pos="0" w:leader="none"/>
        </w:tabs>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tabs>
          <w:tab w:val="left" w:pos="0" w:leader="none"/>
        </w:tabs>
        <w:rPr>
          <w:rFonts w:ascii="Times New Roman" w:hAnsi="Times New Roman" w:cs="Times New Roman"/>
          <w:sz w:val="24"/>
          <w:szCs w:val="24"/>
        </w:rPr>
      </w:pPr>
      <w:r>
        <w:rPr>
          <w:rFonts w:ascii="Times New Roman" w:hAnsi="Times New Roman" w:cs="Times New Roman"/>
          <w:sz w:val="24"/>
          <w:szCs w:val="24"/>
        </w:rPr>
        <w:t>(3) A reklámok és reklámhordozók elhelyezése a polgármester tudomásul vételét tartalmazó határozat közlését követően,  az abban a határozatban foglaltak szerint kezdhető meg, amennyiben ahhoz más engedély vagy hozzájárulás nem szükséges.</w:t>
      </w:r>
    </w:p>
    <w:p>
      <w:pPr>
        <w:spacing w:after="0"/>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tabs>
          <w:tab w:val="left" w:pos="0" w:leader="none"/>
        </w:tabs>
        <w:rPr>
          <w:rFonts w:ascii="Times New Roman" w:hAnsi="Times New Roman" w:cs="Times New Roman"/>
          <w:sz w:val="24"/>
          <w:szCs w:val="24"/>
        </w:rPr>
      </w:pPr>
      <w:r>
        <w:rPr>
          <w:rFonts w:ascii="Times New Roman" w:hAnsi="Times New Roman" w:cs="Times New Roman"/>
          <w:sz w:val="24"/>
          <w:szCs w:val="24"/>
        </w:rPr>
        <w:t>(4) A polgármester a településképi bejelentési eljárást a Tvtv-ben, a településfejlesztési koncepcióról, az integrált településfejlesztési stratégiáról és a településrendezési eszközökről, valamint egyes településrendezési sajátos jogintézményekről szóló 314/2012. (XI. 8.) Korm. rendeletben (a továbbiakban: településrendezési rend..) és az e rendeletben foglalt eljárási szabályok szerint folytatja le. Az eljárásban alkalmazni kell az általános közigazgatási rendtartásról szóló 2016. évi CL. törvény rendelkezéseit.</w:t>
      </w:r>
    </w:p>
    <w:p>
      <w:pPr>
        <w:spacing w:after="0" w:line="240" w:lineRule="auto"/>
        <w:jc w:val="both"/>
        <w:tabs>
          <w:tab w:val="left" w:pos="0" w:leader="none"/>
        </w:tabs>
        <w:rPr>
          <w:rFonts w:ascii="Times New Roman" w:hAnsi="Times New Roman" w:cs="Times New Roman"/>
          <w:sz w:val="24"/>
          <w:szCs w:val="24"/>
        </w:rPr>
      </w:pPr>
      <w:r>
        <w:rPr>
          <w:rFonts w:ascii="Times New Roman" w:hAnsi="Times New Roman" w:cs="Times New Roman"/>
          <w:sz w:val="24"/>
          <w:szCs w:val="24"/>
        </w:rPr>
      </w:r>
    </w:p>
    <w:p>
      <w:pPr>
        <w:ind w:left="360"/>
        <w:spacing w:after="0" w:line="240" w:lineRule="auto"/>
        <w:rPr>
          <w:rFonts w:ascii="Times New Roman" w:hAnsi="Times New Roman" w:cs="Times New Roman"/>
          <w:b/>
          <w:bCs/>
          <w:sz w:val="24"/>
          <w:szCs w:val="24"/>
        </w:rPr>
      </w:pPr>
      <w:r>
        <w:rPr>
          <w:rFonts w:ascii="Times New Roman" w:hAnsi="Times New Roman" w:cs="Times New Roman"/>
          <w:b/>
          <w:bCs/>
          <w:sz w:val="24"/>
          <w:szCs w:val="24"/>
        </w:rPr>
      </w:r>
    </w:p>
    <w:p>
      <w:pPr>
        <w:ind w:left="36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 jogellenesen elhelyezett hirdető-berendezések</w:t>
      </w:r>
    </w:p>
    <w:p>
      <w:pPr>
        <w:ind w:left="36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24.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Amennyiben a polgármester a településrendezési rend.. 26/D § alapján végzett ellenőrzése során azt tapasztalja, hogy a reklámcélú berendezés a településképet hátrányosan érinti, vagy azok mérete, anyaga, megjelenési formája nem felel meg az e rendelet reklámokra vonatkozó szabályainak, így különösen, ha annak, hogy:</w:t>
      </w:r>
    </w:p>
    <w:p>
      <w:pPr>
        <w:pStyle w:val="para4"/>
        <w:numPr>
          <w:ilvl w:val="0"/>
          <w:numId w:val="4"/>
        </w:numPr>
        <w:ind w:left="709" w:hanging="425"/>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elhelyezését nem előzte meg a bejelentési eljárás lefolytatása, </w:t>
      </w:r>
    </w:p>
    <w:p>
      <w:pPr>
        <w:pStyle w:val="para4"/>
        <w:numPr>
          <w:ilvl w:val="0"/>
          <w:numId w:val="4"/>
        </w:numPr>
        <w:ind w:left="709" w:hanging="425"/>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látványképe nem illeszkedik a városképbe, attól idegen, </w:t>
      </w:r>
    </w:p>
    <w:p>
      <w:pPr>
        <w:pStyle w:val="para4"/>
        <w:numPr>
          <w:ilvl w:val="0"/>
          <w:numId w:val="4"/>
        </w:numPr>
        <w:ind w:left="709" w:hanging="425"/>
        <w:spacing w:after="0" w:line="240" w:lineRule="auto"/>
        <w:jc w:val="both"/>
        <w:rPr>
          <w:rFonts w:ascii="Times New Roman" w:hAnsi="Times New Roman" w:cs="Times New Roman"/>
          <w:sz w:val="24"/>
          <w:szCs w:val="24"/>
        </w:rPr>
      </w:pPr>
      <w:r>
        <w:rPr>
          <w:rFonts w:ascii="Times New Roman" w:hAnsi="Times New Roman" w:cs="Times New Roman"/>
          <w:sz w:val="24"/>
          <w:szCs w:val="24"/>
        </w:rPr>
        <w:t>előnytelenül befolyásolja az épület homlokzatát, tetőzetét, kirakatát, portálját,</w:t>
      </w:r>
    </w:p>
    <w:p>
      <w:pPr>
        <w:pStyle w:val="para4"/>
        <w:numPr>
          <w:ilvl w:val="0"/>
          <w:numId w:val="4"/>
        </w:numPr>
        <w:ind w:left="709" w:hanging="425"/>
        <w:spacing w:after="0" w:line="240" w:lineRule="auto"/>
        <w:jc w:val="both"/>
        <w:rPr>
          <w:rFonts w:ascii="Times New Roman" w:hAnsi="Times New Roman" w:cs="Times New Roman"/>
          <w:sz w:val="24"/>
          <w:szCs w:val="24"/>
        </w:rPr>
      </w:pPr>
      <w:r>
        <w:rPr>
          <w:rFonts w:ascii="Times New Roman" w:hAnsi="Times New Roman" w:cs="Times New Roman"/>
          <w:sz w:val="24"/>
          <w:szCs w:val="24"/>
        </w:rPr>
        <w:t>műszaki állapota nem megfelelő,</w:t>
      </w:r>
    </w:p>
    <w:p>
      <w:pPr>
        <w:pStyle w:val="para4"/>
        <w:numPr>
          <w:ilvl w:val="0"/>
          <w:numId w:val="4"/>
        </w:numPr>
        <w:ind w:left="709" w:hanging="425"/>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tartalma idejétmúlt, aktualitását vesztette,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az észrevételt követő 15 napon belül értesíti a megyei kormányhivatalt. </w:t>
      </w:r>
    </w:p>
    <w:p>
      <w:pPr>
        <w:spacing w:after="0" w:line="240" w:lineRule="auto"/>
        <w:jc w:val="both"/>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spacing w:after="0" w:line="240" w:lineRule="auto"/>
        <w:jc w:val="both"/>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spacing w:after="0" w:line="240" w:lineRule="auto"/>
        <w:jc w:val="both"/>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spacing w:after="0" w:line="240" w:lineRule="auto"/>
        <w:jc w:val="both"/>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VI. FEJEZET</w:t>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A TELJES TELEPÜLÉS ELLÁTÁSÁT BIZTOSÍTÓ FELSZÍNI ENERGIAELLÁTÁSI ÉS ELEKTRONIKUS HÍRKÖZLÉSI SAJÁTOS ÉPÍTMÉNYEK, MŰTÁRGYAK ELHELYEZÉSE</w:t>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spacing w:after="0" w:line="240" w:lineRule="auto"/>
        <w:jc w:val="center"/>
        <w:rPr>
          <w:rFonts w:ascii="Times New Roman" w:hAnsi="Times New Roman" w:cs="Times New Roman"/>
          <w:b/>
          <w:bCs/>
          <w:i/>
          <w:iCs/>
          <w:sz w:val="24"/>
          <w:szCs w:val="24"/>
          <w:lang w:eastAsia="hu-hu"/>
        </w:rPr>
      </w:pPr>
      <w:r>
        <w:rPr>
          <w:rFonts w:ascii="Times New Roman" w:hAnsi="Times New Roman" w:cs="Times New Roman"/>
          <w:b/>
          <w:bCs/>
          <w:color w:val="000000"/>
          <w:sz w:val="24"/>
          <w:szCs w:val="24"/>
          <w:lang w:eastAsia="hu-hu"/>
        </w:rPr>
        <w:t>Általános előírások</w:t>
      </w:r>
      <w:r>
        <w:rPr>
          <w:rFonts w:ascii="Times New Roman" w:hAnsi="Times New Roman" w:cs="Times New Roman"/>
          <w:b/>
          <w:bCs/>
          <w:i/>
          <w:iCs/>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25. §</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(1)</w:t>
        <w:tab/>
        <w:t>A településképi szempontból meghatározó területeken új vezetékes energiaellátási és elektronikus hírközlési hálózatokat földalatti elhelyezéssel kell építeni.</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(2)</w:t>
        <w:tab/>
        <w:t>Belterület már beépített területén, valamint külterület beépítésre szánt területén, ahol a meglevő gyenge és erősáramú hálózatok föld feletti vezetésűek, új energiaellátási elektronikus hírközlési hálózatokat a meglevő oszlopsorra, vagy közös tartóoszlopra kell fektetni. Közös oszlopsorra való telepítés bármilyen akadályoztatása esetén az építendő hálózatot csak földalatti elhelyezéssel szabad kivitelezni.</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(3)</w:t>
        <w:tab/>
        <w:t>Új elektronikus hírközlési hálózatokat beépítésre nem szánt területen területgazdálkodási okokból a villamos energia elosztási, a közvilágítási és egyéb hírközlési szabadvezetékekkel közös, egyoldali oszlopsorra kell fektetni, amelyre egyben a közvilágítást szolgáló lámpafejek is elhelyezhetőek.</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(4)</w:t>
        <w:tab/>
        <w:t>Már beépített területen üzemelő föld feletti hálózat rekonstrukciója, figyelembe véve az egyes földfeletti bekötésű ingatlanok átkötési igényét is</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helyi védettségű területen,</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 xml:space="preserve">közparkokban </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csak földalatti elhelyezéssel kivitelezhető.</w:t>
      </w:r>
    </w:p>
    <w:p>
      <w:pPr>
        <w:spacing w:after="0" w:line="240" w:lineRule="auto"/>
        <w:jc w:val="both"/>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Teljes település ellátását biztosító vezeték nélküli elektronikus hírközlés</w:t>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sz w:val="24"/>
          <w:szCs w:val="24"/>
          <w:lang w:eastAsia="hu-hu"/>
        </w:rPr>
        <w:t>26</w:t>
      </w:r>
      <w:r>
        <w:rPr>
          <w:rFonts w:ascii="Times New Roman" w:hAnsi="Times New Roman" w:cs="Times New Roman"/>
          <w:b/>
          <w:bCs/>
          <w:color w:val="000000"/>
          <w:sz w:val="24"/>
          <w:szCs w:val="24"/>
          <w:lang w:eastAsia="hu-hu"/>
        </w:rPr>
        <w:t>. §</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(1)</w:t>
        <w:tab/>
        <w:t xml:space="preserve">Új antenna csak a településképi szempontok érvényesítésével és a környezethez illeszkedően helyezhető el. </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(2)</w:t>
        <w:tab/>
        <w:t>Belterületen belül, valamint a külterület beépítésre szánt területein az antennák elhelyezésénél a következő követelményeknek kell megfelelni: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Antenna csak már meglevő építményre telepíthető a gazdasági- és mezőgzdasági övezetek kivételével.</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Ha meglévő épület, építmény tetejére valamely okból nem lenne telepíthető az új antenna, akkor - gazdasági övezetek kivételével - az antenna önállóan csak multifunkcionális (pl. sportpálya térvilágítás, vendéglátó egységgel együtt építve, kilátó, vadles stb.) kialakítással telepíthető.</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w:t>
        <w:tab/>
        <w:t>Antenna templomtoronyra nem helyezhető el.</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d)</w:t>
        <w:tab/>
        <w:t>Helyi védettséggel érintett építményen, területen, közparkban, lakóépítési övezetben antenna nem telepíthető.</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e)</w:t>
        <w:tab/>
        <w:t>Gazdasági övezetekben önálló tartószerkezettel telepített antenna lakóépületektől csak legalább 300 méter távolságra helyezhető el.</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center"/>
        <w:rPr>
          <w:rFonts w:ascii="Times New Roman" w:hAnsi="Times New Roman" w:cs="Times New Roman"/>
          <w:b/>
          <w:bCs/>
          <w:i/>
          <w:iCs/>
          <w:sz w:val="24"/>
          <w:szCs w:val="24"/>
          <w:lang w:eastAsia="hu-hu"/>
        </w:rPr>
      </w:pPr>
      <w:r>
        <w:rPr>
          <w:rFonts w:ascii="Times New Roman" w:hAnsi="Times New Roman" w:cs="Times New Roman"/>
          <w:b/>
          <w:bCs/>
          <w:color w:val="000000"/>
          <w:sz w:val="24"/>
          <w:szCs w:val="24"/>
          <w:lang w:eastAsia="hu-hu"/>
        </w:rPr>
        <w:t>Felszíni energiaellátási és elektronikus hírközlési sajátos építmények, műtárgyak elhelyezésére vonatkozó egyedi előírások</w:t>
      </w:r>
      <w:r>
        <w:rPr>
          <w:rFonts w:ascii="Times New Roman" w:hAnsi="Times New Roman" w:cs="Times New Roman"/>
          <w:b/>
          <w:bCs/>
          <w:i/>
          <w:iCs/>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27. §</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(1)</w:t>
        <w:tab/>
        <w:t>Teljes település ellátását biztosító felszíni energiaellátási és elektronikus hírközlési</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sajátos építmények, műtárgyak elhelyezésére elsősorban alkalmas területek:</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mezőgazdasági,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gazdasági,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w:t>
        <w:tab/>
        <w:t>különleges területek.</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(2)</w:t>
        <w:tab/>
        <w:t>A helyi védettség alatt álló területek, terek, parkok területén a sajátos építményekkel, műtárgyakkal kapcsolatos anyaghasználatra vonatkozó követelmények:</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építmények esetében is elsődlegesen földalatti elhelyezés preferált,</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föld feletti kialakítás esetén kő-, tégla- vagy vakolt homlokzat, korcolt fémlemez fedés megengedett.</w:t>
      </w:r>
    </w:p>
    <w:p>
      <w:pPr>
        <w:spacing w:after="0" w:line="240" w:lineRule="auto"/>
        <w:jc w:val="both"/>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spacing w:after="0" w:line="240" w:lineRule="auto"/>
        <w:jc w:val="both"/>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VII. FEJEZET</w:t>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TELEPÜLÉSKÉPI BEJELENTÉSI ELJÁRÁS</w:t>
      </w:r>
    </w:p>
    <w:p>
      <w:pPr>
        <w:ind w:firstLine="180"/>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28. §</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lang w:eastAsia="hu-hu"/>
        </w:rPr>
        <w:t>(1)</w:t>
        <w:tab/>
      </w:r>
      <w:r>
        <w:rPr>
          <w:rFonts w:ascii="Times New Roman" w:hAnsi="Times New Roman" w:cs="Times New Roman"/>
          <w:color w:val="000000"/>
          <w:sz w:val="24"/>
          <w:szCs w:val="24"/>
        </w:rPr>
        <w:t>Településképi bejelentési eljárást kell lefolytatni az alábbi tevékenységek esetén, amennyiben közterület felé néző, vagy onnan látható elhelyezéssel készül el:</w:t>
        <w:tab/>
        <w:br w:type="textWrapping"/>
        <w:t xml:space="preserve">    a)</w:t>
      </w:r>
      <w:r>
        <w:t xml:space="preserve">    </w:t>
      </w:r>
      <w:r>
        <w:rPr>
          <w:rFonts w:ascii="Times New Roman" w:hAnsi="Times New Roman" w:cs="Times New Roman"/>
          <w:sz w:val="24"/>
          <w:szCs w:val="24"/>
        </w:rPr>
        <w:t>Meglévő építmény utólagos hőszigetelése, homlokzati nyílászáró cseréje, a                                                                       homlokzatfelület színezése, a homlokzat felületképzésének megváltoztatása;</w:t>
      </w:r>
    </w:p>
    <w:p>
      <w:pPr>
        <w:ind w:left="1418" w:hanging="709"/>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b)         Új, önálló (homlokzati falhoz rögzített vagy szabadon álló) égéstermék-elvezető kémény építése melynek magassága a 6,0 m-t nem haladja meg;</w:t>
      </w:r>
      <w:r>
        <w:rPr>
          <w:rFonts w:ascii="Times New Roman" w:hAnsi="Times New Roman" w:cs="Times New Roman"/>
          <w:sz w:val="24"/>
          <w:szCs w:val="24"/>
        </w:rPr>
      </w:r>
    </w:p>
    <w:p>
      <w:pPr>
        <w:ind w:left="1418" w:hanging="709"/>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c)         Az épület utcai homlokzatához illesztett előtető, védőtető, ernyőszerkezet építése településképi szempontból meghatározó területen, ha ehhez az épület tartószerkezetét nem kell megváltoztatni, átalakítani, megbontani, kicserélni, megerősíteni vagy újjáépíteni;</w:t>
      </w:r>
      <w:r>
        <w:rPr>
          <w:rFonts w:ascii="Times New Roman" w:hAnsi="Times New Roman" w:cs="Times New Roman"/>
          <w:sz w:val="24"/>
          <w:szCs w:val="24"/>
        </w:rPr>
      </w:r>
    </w:p>
    <w:p>
      <w:pPr>
        <w:ind w:left="1418" w:hanging="709"/>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d)        Épület vagy az abban található önálló rendeltetési egységek rendeltetésének megváltoztatása;</w:t>
      </w:r>
      <w:r>
        <w:rPr>
          <w:rFonts w:ascii="Times New Roman" w:hAnsi="Times New Roman" w:cs="Times New Roman"/>
          <w:sz w:val="24"/>
          <w:szCs w:val="24"/>
        </w:rPr>
      </w:r>
    </w:p>
    <w:p>
      <w:pPr>
        <w:ind w:left="1418" w:hanging="709"/>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e)        Kereskedelmi, vendéglátó rendeltetésű épület építése, bővítése, melynek mérete az építési tevékenység után sem haladja meg a nettó 20,0 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alapterületet;</w:t>
      </w:r>
      <w:r>
        <w:rPr>
          <w:rFonts w:ascii="Times New Roman" w:hAnsi="Times New Roman" w:cs="Times New Roman"/>
          <w:sz w:val="24"/>
          <w:szCs w:val="24"/>
        </w:rPr>
      </w:r>
    </w:p>
    <w:p>
      <w:pPr>
        <w:ind w:left="1418" w:hanging="709"/>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f)         Nem emberi tartózkodásra szolgáló építmény közterületi határvonalon, vagy attól 10 méteren belüli építése, bővítése, melynek mérete az építési tevékenység után sem haladja meg a nettó 100 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térfogatot és 4,5 m gerincmagasságot;</w:t>
      </w:r>
      <w:r>
        <w:rPr>
          <w:rFonts w:ascii="Times New Roman" w:hAnsi="Times New Roman" w:cs="Times New Roman"/>
          <w:sz w:val="24"/>
          <w:szCs w:val="24"/>
        </w:rPr>
      </w:r>
    </w:p>
    <w:p>
      <w:pPr>
        <w:ind w:left="1418" w:hanging="709"/>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g)        Önálló reklámtartó építmény építése, meglévő felújítása, helyreállítása, átalakítása, korszerűsítése, bővítése, megváltoztatása, melynek mérete az építési tevékenység után sem haladja meg</w:t>
      </w:r>
      <w:r>
        <w:rPr>
          <w:rFonts w:ascii="Times New Roman" w:hAnsi="Times New Roman" w:cs="Times New Roman"/>
          <w:sz w:val="24"/>
          <w:szCs w:val="24"/>
        </w:rPr>
      </w:r>
    </w:p>
    <w:p>
      <w:pPr>
        <w:ind w:left="2410" w:hanging="709"/>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ga)       beépítésre nem szánt területen a 9,0 m magasságot,</w:t>
      </w:r>
      <w:r>
        <w:rPr>
          <w:rFonts w:ascii="Times New Roman" w:hAnsi="Times New Roman" w:cs="Times New Roman"/>
          <w:sz w:val="24"/>
          <w:szCs w:val="24"/>
        </w:rPr>
      </w:r>
    </w:p>
    <w:p>
      <w:pPr>
        <w:ind w:left="2410" w:hanging="709"/>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gb)       beépítésre szánt területen a 4,5 m magasságot;</w:t>
      </w:r>
      <w:r>
        <w:rPr>
          <w:rFonts w:ascii="Times New Roman" w:hAnsi="Times New Roman" w:cs="Times New Roman"/>
          <w:sz w:val="24"/>
          <w:szCs w:val="24"/>
        </w:rPr>
      </w:r>
    </w:p>
    <w:p>
      <w:pPr>
        <w:ind w:left="1418" w:hanging="709"/>
        <w:spacing w:after="0" w:line="240" w:lineRule="auto"/>
        <w:jc w:val="both"/>
        <w:rPr>
          <w:rFonts w:ascii="Times New Roman" w:hAnsi="Times New Roman" w:cs="Times New Roman"/>
          <w:sz w:val="24"/>
          <w:szCs w:val="24"/>
        </w:rPr>
      </w:pPr>
      <w:r>
        <w:rPr>
          <w:rFonts w:ascii="Times New Roman" w:hAnsi="Times New Roman" w:cs="Times New Roman"/>
          <w:sz w:val="24"/>
          <w:szCs w:val="24"/>
        </w:rPr>
        <w:t>h)        Szobor, emlékmű, kereszt, emlékjel építése, elhelyezése, ha annak a talapzatával</w:t>
      </w:r>
    </w:p>
    <w:p>
      <w:pPr>
        <w:ind w:left="1418" w:hanging="2"/>
        <w:spacing w:after="0" w:line="240" w:lineRule="auto"/>
        <w:jc w:val="both"/>
        <w:rPr>
          <w:rFonts w:ascii="Times New Roman" w:hAnsi="Times New Roman" w:cs="Times New Roman"/>
          <w:sz w:val="24"/>
          <w:szCs w:val="24"/>
        </w:rPr>
      </w:pPr>
      <w:r>
        <w:rPr>
          <w:rFonts w:ascii="Times New Roman" w:hAnsi="Times New Roman" w:cs="Times New Roman"/>
          <w:sz w:val="24"/>
          <w:szCs w:val="24"/>
        </w:rPr>
        <w:t>együtt mért magassága eléri az 1,5 métert, de nem haladja meg a 6,0 m-t;</w:t>
      </w:r>
    </w:p>
    <w:p>
      <w:pPr>
        <w:ind w:left="1418" w:hanging="709"/>
        <w:spacing w:after="0" w:line="240" w:lineRule="auto"/>
        <w:jc w:val="both"/>
        <w:rPr>
          <w:rFonts w:ascii="Times New Roman" w:hAnsi="Times New Roman" w:cs="Times New Roman"/>
          <w:sz w:val="24"/>
          <w:szCs w:val="24"/>
        </w:rPr>
      </w:pPr>
      <w:r>
        <w:rPr>
          <w:rFonts w:ascii="Times New Roman" w:hAnsi="Times New Roman" w:cs="Times New Roman"/>
          <w:sz w:val="24"/>
          <w:szCs w:val="24"/>
        </w:rPr>
        <w:t>i)         Növénytermesztésre szolgáló üvegház építése, bővítése, meglévő felújítása, helyreállítása, átalakítása, korszerűsítése, megváltoztatása, melynek legmagasabb pontja az építési tevékenység után sem haladja meg</w:t>
      </w:r>
    </w:p>
    <w:p>
      <w:pPr>
        <w:ind w:left="2410" w:hanging="709"/>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ia)       beépítésre nem szánt területen a 9,0 m-t,</w:t>
      </w:r>
      <w:r>
        <w:rPr>
          <w:rFonts w:ascii="Times New Roman" w:hAnsi="Times New Roman" w:cs="Times New Roman"/>
          <w:sz w:val="24"/>
          <w:szCs w:val="24"/>
        </w:rPr>
      </w:r>
    </w:p>
    <w:p>
      <w:pPr>
        <w:ind w:left="2410" w:hanging="709"/>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ib)       beépítésre szánt területen a nettó 100,0 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alapterületet és a 4,5 m-t;</w:t>
      </w:r>
      <w:r>
        <w:rPr>
          <w:rFonts w:ascii="Times New Roman" w:hAnsi="Times New Roman" w:cs="Times New Roman"/>
          <w:sz w:val="24"/>
          <w:szCs w:val="24"/>
        </w:rPr>
      </w:r>
    </w:p>
    <w:p>
      <w:pPr>
        <w:ind w:left="1418" w:hanging="709"/>
        <w:spacing w:after="0" w:line="240" w:lineRule="auto"/>
        <w:jc w:val="both"/>
        <w:rPr>
          <w:rFonts w:ascii="Times New Roman" w:hAnsi="Times New Roman" w:cs="Times New Roman"/>
          <w:sz w:val="24"/>
          <w:szCs w:val="24"/>
        </w:rPr>
      </w:pPr>
      <w:r>
        <w:rPr>
          <w:rFonts w:ascii="Times New Roman" w:hAnsi="Times New Roman" w:cs="Times New Roman"/>
          <w:sz w:val="24"/>
          <w:szCs w:val="24"/>
        </w:rPr>
        <w:t>j)         Közterületen nem építési engedélyköteles pavilon, vendéglátó ipari terasz építése, elhelyezése;</w:t>
      </w:r>
    </w:p>
    <w:p>
      <w:pPr>
        <w:ind w:left="1418" w:hanging="709"/>
        <w:spacing w:after="0" w:line="240" w:lineRule="auto"/>
        <w:jc w:val="both"/>
        <w:rPr>
          <w:rFonts w:ascii="Times New Roman" w:hAnsi="Times New Roman" w:cs="Times New Roman"/>
          <w:sz w:val="24"/>
          <w:szCs w:val="24"/>
        </w:rPr>
      </w:pPr>
      <w:r>
        <w:rPr>
          <w:rFonts w:ascii="Times New Roman" w:hAnsi="Times New Roman" w:cs="Times New Roman"/>
          <w:sz w:val="24"/>
          <w:szCs w:val="24"/>
        </w:rPr>
        <w:t>k)        Közterülettel határos kerítés, és kerti építmény (lábon álló kerti tető) építése, meglévő felújítása, helyreállítása, átalakítása, korszerűsítése, bővítése;</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(2)</w:t>
        <w:tab/>
        <w:t>A településképi bejelentési eljárás a bejelentő kérelmére indul. A kérelmet a polgármesterhez az országos követelményekben meghatározott tartalommal és formában kell benyújtani.</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(3)</w:t>
        <w:tab/>
        <w:t>A településképi bejelentés tudomásul vételéről igazolást kell kiadni.</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(2)</w:t>
        <w:tab/>
        <w:t>A polgármesternek a településképi bejelentéssel kapcsolatos döntését a polgármesteri hivatal ezzel a feladattal munkaköri feladatként megbízott személy készíti elő.</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(3)</w:t>
        <w:tab/>
        <w:t>A polgármester ellenőrzi a bejelentési kötelezettség teljesítését és a bejelentett tevékenység előírásoknak megfelelő végzését.</w:t>
      </w:r>
    </w:p>
    <w:p>
      <w:pPr>
        <w:ind w:firstLine="180"/>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firstLine="180"/>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VIII. FEJEZET</w:t>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A TELEPÜLÉSKÉPI KÖTELEZÉS, TELEPÜLÉSKÉPI BÍRSÁG</w:t>
      </w:r>
    </w:p>
    <w:p>
      <w:pPr>
        <w:ind w:left="360" w:hanging="360"/>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ind w:left="360" w:hanging="360"/>
        <w:spacing w:after="0" w:line="240" w:lineRule="auto"/>
        <w:jc w:val="center"/>
        <w:rPr>
          <w:rFonts w:ascii="Times New Roman" w:hAnsi="Times New Roman" w:cs="Times New Roman"/>
          <w:color w:val="000000"/>
          <w:sz w:val="24"/>
          <w:szCs w:val="24"/>
          <w:lang w:eastAsia="hu-hu"/>
        </w:rPr>
      </w:pPr>
      <w:r>
        <w:rPr>
          <w:rFonts w:ascii="Times New Roman" w:hAnsi="Times New Roman" w:cs="Times New Roman"/>
          <w:b/>
          <w:bCs/>
          <w:color w:val="000000"/>
          <w:sz w:val="24"/>
          <w:szCs w:val="24"/>
          <w:lang w:eastAsia="hu-hu"/>
        </w:rPr>
        <w:t>A településképi kötelezési eljárás</w:t>
      </w:r>
      <w:r>
        <w:rPr>
          <w:rFonts w:ascii="Times New Roman" w:hAnsi="Times New Roman" w:cs="Times New Roman"/>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29. §</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(1)</w:t>
        <w:tab/>
        <w:t>A polgármester településképi kötelezés formájában e rendeletben megfogalmazott településképi követelmények be nem tartása esetén az ingatlan tulajdonosát az építmény, építményrész felújítására, átalakítására, helyrehozatalára vagy elbontására kötelezheti.</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(2)</w:t>
        <w:tab/>
        <w:t>A településképi kötelezési eljárás részletes szabályai: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A településképi kötelezési eljárás hivatalból, vagy kérelemre indul.</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A településképi kötelezési eljárást a polgármester folytatja le önkormányzati hatósági jogkörben, és határozattal kötelezést bocsát ki.</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(3)</w:t>
        <w:tab/>
        <w:t>A településképi követelmények megszegésének jogkövetkezményei:</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b/>
        <w:tab/>
        <w:t xml:space="preserve">a) </w:t>
        <w:tab/>
        <w:t>figyelmeztetés,</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b/>
        <w:tab/>
        <w:t xml:space="preserve">b)     </w:t>
        <w:tab/>
        <w:t>jogszabálysértés megszüntetésére határidő biztosítása,</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w:t>
        <w:tab/>
        <w:t>településképi kötelezés, valamint</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d)</w:t>
        <w:tab/>
        <w:t>településképi bírság.</w:t>
      </w:r>
    </w:p>
    <w:p>
      <w:pPr>
        <w:ind w:firstLine="180"/>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(4)</w:t>
        <w:tab/>
        <w:t>A településképi bírság kiszabásának részletes szabályai:</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w:t>
        <w:tab/>
        <w:t>Településképi bírság a következő esetekben szabható ki:</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aa)</w:t>
        <w:tab/>
        <w:t>településképi bejelentési eljárás kezdeményezésének elmulasztása,</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ab)</w:t>
        <w:tab/>
        <w:t>a bejelentésben vagy döntésben meghatározottól eltérő tevékenység végzése,</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ac)</w:t>
        <w:tab/>
        <w:t>a településképi követelmények be nem tartása,</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ad)</w:t>
        <w:tab/>
        <w:t>döntés végre nem hajtása.</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w:t>
        <w:tab/>
        <w:t>A településképi bírság:</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ba)</w:t>
        <w:tab/>
        <w:t>felső határa 1.000.000,- forint,</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bb)</w:t>
        <w:tab/>
        <w:t>alsó határa 10.000,- forint,</w:t>
      </w:r>
    </w:p>
    <w:p>
      <w:pPr>
        <w:ind w:left="1418"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w:t>
        <w:tab/>
        <w:t>A településképi bírság kiszabásánál az alábbi szempontokat kell mérlegelni:</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ca)</w:t>
        <w:tab/>
        <w:t>a jogsértéssel okozott hátrányt, ideértve a hátrány megelőzésével, elhárításával, helyreállításával kapcsolatban felmerült költségeket, illetve a jogsértéssel elért előny mértékét,</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cb)</w:t>
        <w:tab/>
        <w:t>a jogsértéssel okozott hátrány visszafordíthatóságát,</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cc)</w:t>
        <w:tab/>
        <w:t>a jogsértéssel érintettek körének nagyságát,</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cd)</w:t>
        <w:tab/>
        <w:t>a jogsértő állapot időtartamát,</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ce)</w:t>
        <w:tab/>
        <w:t>a jogsértő magatartás ismétlődését és gyakoriságát,</w:t>
      </w:r>
    </w:p>
    <w:p>
      <w:pPr>
        <w:ind w:left="2410" w:hanging="709"/>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cf)</w:t>
        <w:tab/>
        <w:t>a jogsértést elkövető eljárást segítő, együttműködő magatartását.</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(5)</w:t>
        <w:tab/>
        <w:t>A településképi bírságot közvetlenül az Önkormányzat erre a célra szolgáló bankszámlájára történő befizetéssel kell teljesíteni.</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(6)</w:t>
        <w:tab/>
        <w:t>A bírság mértéke korlátlanul enyhíthető, vagy mellőzhető, ha a jogsértés megszüntetésre kerül.</w:t>
      </w:r>
    </w:p>
    <w:p>
      <w:pPr>
        <w:ind w:firstLine="180"/>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firstLine="180"/>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center"/>
        <w:rPr>
          <w:rFonts w:ascii="Times New Roman" w:hAnsi="Times New Roman" w:cs="Times New Roman"/>
          <w:color w:val="000000"/>
          <w:sz w:val="24"/>
          <w:szCs w:val="24"/>
          <w:lang w:eastAsia="hu-hu"/>
        </w:rPr>
      </w:pPr>
      <w:r>
        <w:rPr>
          <w:rFonts w:ascii="Times New Roman" w:hAnsi="Times New Roman" w:cs="Times New Roman"/>
          <w:b/>
          <w:bCs/>
          <w:color w:val="000000"/>
          <w:sz w:val="24"/>
          <w:szCs w:val="24"/>
          <w:lang w:eastAsia="hu-hu"/>
        </w:rPr>
        <w:t>IX. FEJEZET</w:t>
      </w:r>
      <w:r>
        <w:rPr>
          <w:rFonts w:ascii="Times New Roman" w:hAnsi="Times New Roman" w:cs="Times New Roman"/>
          <w:color w:val="000000"/>
          <w:sz w:val="24"/>
          <w:szCs w:val="24"/>
          <w:lang w:eastAsia="hu-hu"/>
        </w:rPr>
      </w:r>
    </w:p>
    <w:p>
      <w:pPr>
        <w:spacing w:after="0" w:line="240" w:lineRule="auto"/>
        <w:jc w:val="center"/>
        <w:rPr>
          <w:rFonts w:ascii="Times New Roman" w:hAnsi="Times New Roman" w:cs="Times New Roman"/>
          <w:color w:val="000000"/>
          <w:sz w:val="24"/>
          <w:szCs w:val="24"/>
          <w:lang w:eastAsia="hu-hu"/>
        </w:rPr>
      </w:pPr>
      <w:r>
        <w:rPr>
          <w:rFonts w:ascii="Times New Roman" w:hAnsi="Times New Roman" w:cs="Times New Roman"/>
          <w:b/>
          <w:bCs/>
          <w:color w:val="000000"/>
          <w:sz w:val="24"/>
          <w:szCs w:val="24"/>
          <w:lang w:eastAsia="hu-hu"/>
        </w:rPr>
        <w:t>ZÁRÓ RENDELKEZÉSEK</w:t>
      </w:r>
      <w:r>
        <w:rPr>
          <w:rFonts w:ascii="Times New Roman" w:hAnsi="Times New Roman" w:cs="Times New Roman"/>
          <w:color w:val="000000"/>
          <w:sz w:val="24"/>
          <w:szCs w:val="24"/>
          <w:lang w:eastAsia="hu-hu"/>
        </w:rPr>
      </w:r>
    </w:p>
    <w:p>
      <w:pPr>
        <w:ind w:firstLine="180"/>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Hatálybalépés és átmeneti rendelkezések</w:t>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30. §</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(1)</w:t>
        <w:tab/>
        <w:t>Ez a Rendelet </w:t>
      </w:r>
      <w:r>
        <w:rPr>
          <w:rFonts w:ascii="Times New Roman" w:hAnsi="Times New Roman" w:cs="Times New Roman"/>
          <w:color w:val="00b050"/>
          <w:sz w:val="24"/>
          <w:szCs w:val="24"/>
          <w:lang w:eastAsia="hu-hu"/>
        </w:rPr>
        <w:t xml:space="preserve">2018. ………... </w:t>
      </w:r>
      <w:r>
        <w:rPr>
          <w:rFonts w:ascii="Times New Roman" w:hAnsi="Times New Roman" w:cs="Times New Roman"/>
          <w:color w:val="000000"/>
          <w:sz w:val="24"/>
          <w:szCs w:val="24"/>
          <w:lang w:eastAsia="hu-hu"/>
        </w:rPr>
        <w:t>napján lép hatályba, rendelkezéseit a hatálybalépést követően indított ügyekben kell alkalmazni.</w:t>
      </w:r>
    </w:p>
    <w:p>
      <w:pPr>
        <w:ind w:left="426" w:hanging="426"/>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i/>
          <w:iCs/>
          <w:color w:val="000000"/>
          <w:sz w:val="24"/>
          <w:szCs w:val="24"/>
          <w:lang w:eastAsia="hu-hu"/>
        </w:rPr>
        <w:t>(2)</w:t>
      </w:r>
      <w:r>
        <w:rPr>
          <w:rFonts w:ascii="Times New Roman" w:hAnsi="Times New Roman" w:cs="Times New Roman"/>
          <w:color w:val="000000"/>
          <w:sz w:val="24"/>
          <w:szCs w:val="24"/>
          <w:lang w:eastAsia="hu-hu"/>
        </w:rPr>
        <w:tab/>
        <w:t xml:space="preserve">A hatálybalépésekor már folyamatban lévő ügyekben kizárólag az építtető, vagy a tulajdonos kérésére alkalmazhatók a Rendelet előírásai. </w:t>
      </w:r>
    </w:p>
    <w:p>
      <w:pPr>
        <w:spacing w:after="0" w:line="240" w:lineRule="auto"/>
        <w:jc w:val="both"/>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Hatályon kívül helyező rendelkezések</w:t>
      </w:r>
    </w:p>
    <w:p>
      <w:pPr>
        <w:spacing w:after="0" w:line="240" w:lineRule="auto"/>
        <w:jc w:val="center"/>
        <w:rPr>
          <w:rFonts w:ascii="Times New Roman" w:hAnsi="Times New Roman" w:cs="Times New Roman"/>
          <w:b/>
          <w:bCs/>
          <w:color w:val="000000"/>
          <w:sz w:val="24"/>
          <w:szCs w:val="24"/>
          <w:lang w:eastAsia="hu-hu"/>
        </w:rPr>
      </w:pPr>
      <w:r>
        <w:rPr>
          <w:rFonts w:ascii="Times New Roman" w:hAnsi="Times New Roman" w:cs="Times New Roman"/>
          <w:b/>
          <w:bCs/>
          <w:color w:val="000000"/>
          <w:sz w:val="24"/>
          <w:szCs w:val="24"/>
          <w:lang w:eastAsia="hu-hu"/>
        </w:rPr>
        <w:t>31. §</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Hatályát veszti:</w:t>
      </w:r>
    </w:p>
    <w:p>
      <w:pPr>
        <w:ind w:left="426" w:hanging="426"/>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(1)</w:t>
        <w:tab/>
        <w:t>Csorvás Város Önkormányzat Képviselő-testületének a reklámok, reklámhordozók és cégérek elhelyezésének, alkalmazásának követelményeiről, feltételeiről és tilalmáról, valamint a településképi bejelentési eljárásról szóló 25/2017. (XI.9.) önkormányzati rendelete;</w:t>
      </w:r>
    </w:p>
    <w:p>
      <w:pPr>
        <w:ind w:left="426" w:hanging="426"/>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 xml:space="preserve"> (2)</w:t>
        <w:tab/>
        <w:t>Csorvás Nagyközség Önkormányzata Képviselő-testületének a nagyközség helyi építési szabályzatáról szóló 7/2004. (II.27.) önkormányzati rendeletének</w:t>
      </w:r>
    </w:p>
    <w:p>
      <w:pPr>
        <w:ind w:left="426" w:hanging="426"/>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ab/>
        <w:t xml:space="preserve">7. § (1) p) pontja, </w:t>
      </w:r>
    </w:p>
    <w:p>
      <w:pPr>
        <w:ind w:left="426" w:hanging="426"/>
        <w:spacing w:after="0" w:line="24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ab/>
        <w:t xml:space="preserve">8. §, (3) b) pontja, (4) b) pontja, (6) b) pontja, valamint a  </w:t>
      </w:r>
    </w:p>
    <w:p>
      <w:pPr>
        <w:ind w:left="426"/>
        <w:spacing w:after="0" w:line="240" w:lineRule="auto"/>
        <w:jc w:val="both"/>
        <w:rPr>
          <w:rFonts w:ascii="Times New Roman" w:hAnsi="Times New Roman" w:cs="Times New Roman"/>
          <w:color w:val="00b050"/>
          <w:sz w:val="24"/>
          <w:szCs w:val="24"/>
          <w:lang w:eastAsia="hu-hu"/>
        </w:rPr>
      </w:pPr>
      <w:r>
        <w:rPr>
          <w:rFonts w:ascii="Times New Roman" w:hAnsi="Times New Roman" w:cs="Times New Roman"/>
          <w:sz w:val="24"/>
          <w:szCs w:val="24"/>
          <w:lang w:eastAsia="hu-hu"/>
        </w:rPr>
        <w:t>17. § (3) e) pontjában  a „A lakóépület szimmetrikus nyeregtetővel épülhet.” szövegrész, és a  „A tetőidom 35-45 fok közötti hajlásszögű lehet.” szövegrész</w:t>
      </w:r>
      <w:r>
        <w:rPr>
          <w:rFonts w:ascii="Times New Roman" w:hAnsi="Times New Roman" w:cs="Times New Roman"/>
          <w:color w:val="00b050"/>
          <w:sz w:val="24"/>
          <w:szCs w:val="24"/>
          <w:lang w:eastAsia="hu-hu"/>
        </w:rPr>
        <w:t>.</w:t>
      </w:r>
    </w:p>
    <w:p>
      <w:pPr>
        <w:ind w:left="426" w:hanging="426"/>
        <w:spacing w:after="0" w:line="240" w:lineRule="auto"/>
        <w:jc w:val="both"/>
        <w:rPr>
          <w:rFonts w:ascii="Times New Roman" w:hAnsi="Times New Roman" w:cs="Times New Roman"/>
          <w:color w:val="00b050"/>
          <w:sz w:val="24"/>
          <w:szCs w:val="24"/>
          <w:lang w:eastAsia="hu-hu"/>
        </w:rPr>
      </w:pPr>
      <w:r>
        <w:rPr>
          <w:rFonts w:ascii="Times New Roman" w:hAnsi="Times New Roman" w:cs="Times New Roman"/>
          <w:color w:val="00b050"/>
          <w:sz w:val="24"/>
          <w:szCs w:val="24"/>
          <w:lang w:eastAsia="hu-hu"/>
        </w:rPr>
        <w:t xml:space="preserve">(3) </w:t>
      </w:r>
      <w:r>
        <w:rPr>
          <w:rFonts w:ascii="Times New Roman" w:hAnsi="Times New Roman" w:cs="Times New Roman"/>
          <w:sz w:val="24"/>
          <w:szCs w:val="24"/>
          <w:lang w:eastAsia="hu-hu"/>
        </w:rPr>
        <w:t>Csorvás Város Önkormányzata Képviselő-testületének</w:t>
      </w:r>
      <w:r>
        <w:rPr>
          <w:rFonts w:ascii="Times New Roman" w:hAnsi="Times New Roman" w:cs="Times New Roman"/>
          <w:color w:val="00b050"/>
          <w:sz w:val="24"/>
          <w:szCs w:val="24"/>
          <w:lang w:eastAsia="hu-hu"/>
        </w:rPr>
        <w:t xml:space="preserve"> </w:t>
      </w:r>
      <w:r>
        <w:rPr>
          <w:rFonts w:ascii="Times New Roman" w:hAnsi="Times New Roman" w:cs="Times New Roman"/>
          <w:color w:val="000000"/>
          <w:sz w:val="24"/>
          <w:szCs w:val="24"/>
          <w:lang w:eastAsia="hu-hu"/>
        </w:rPr>
        <w:t>a természeti és építészeti értékek helyi védelméről szóló 15/2011.(X.28.) önkormányzati rendelete</w:t>
      </w:r>
      <w:r>
        <w:rPr>
          <w:rFonts w:ascii="Times New Roman" w:hAnsi="Times New Roman" w:cs="Times New Roman"/>
          <w:color w:val="00b050"/>
          <w:sz w:val="24"/>
          <w:szCs w:val="24"/>
          <w:lang w:eastAsia="hu-hu"/>
        </w:rPr>
        <w:t xml:space="preserve"> </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t>Csorvás, 2018. ……………………</w:t>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both"/>
        <w:rPr>
          <w:rFonts w:ascii="Times New Roman" w:hAnsi="Times New Roman" w:cs="Times New Roman"/>
          <w:color w:val="000000"/>
          <w:sz w:val="24"/>
          <w:szCs w:val="24"/>
          <w:lang w:eastAsia="hu-hu"/>
        </w:rPr>
      </w:pPr>
      <w:r>
        <w:rPr>
          <w:rFonts w:ascii="Times New Roman" w:hAnsi="Times New Roman" w:cs="Times New Roman"/>
          <w:color w:val="000000"/>
          <w:sz w:val="24"/>
          <w:szCs w:val="24"/>
          <w:lang w:eastAsia="hu-hu"/>
        </w:rPr>
      </w:r>
    </w:p>
    <w:p>
      <w:pPr>
        <w:spacing w:after="0" w:line="240" w:lineRule="auto"/>
        <w:jc w:val="both"/>
        <w:rPr>
          <w:rFonts w:ascii="Times New Roman" w:hAnsi="Times New Roman" w:cs="Times New Roman"/>
          <w:color w:val="ff0000"/>
          <w:sz w:val="24"/>
          <w:szCs w:val="24"/>
        </w:rPr>
      </w:pPr>
      <w:r>
        <w:rPr>
          <w:rFonts w:ascii="Times New Roman" w:hAnsi="Times New Roman" w:cs="Times New Roman"/>
          <w:color w:val="000000"/>
          <w:sz w:val="24"/>
          <w:szCs w:val="24"/>
          <w:lang w:eastAsia="hu-hu"/>
        </w:rPr>
        <w:t>Baráth Lajos</w:t>
        <w:tab/>
        <w:tab/>
        <w:tab/>
        <w:tab/>
        <w:tab/>
        <w:tab/>
        <w:tab/>
        <w:t>Dr.Kerekesné Dr.Mracskó Gyöngyi</w:t>
      </w:r>
      <w:r>
        <w:rPr>
          <w:rFonts w:ascii="Times New Roman" w:hAnsi="Times New Roman" w:cs="Times New Roman"/>
          <w:color w:val="ff0000"/>
          <w:sz w:val="24"/>
          <w:szCs w:val="24"/>
        </w:rPr>
      </w:r>
    </w:p>
    <w:p>
      <w:pPr>
        <w:spacing w:after="0" w:line="240" w:lineRule="auto"/>
        <w:jc w:val="both"/>
        <w:rPr>
          <w:rStyle w:val="char3"/>
          <w:rFonts w:ascii="Times New Roman" w:hAnsi="Times New Roman"/>
          <w:b w:val="0"/>
          <w:bCs w:val="0"/>
          <w:sz w:val="24"/>
          <w:szCs w:val="24"/>
        </w:rPr>
      </w:pPr>
      <w:r>
        <w:rPr>
          <w:rFonts w:ascii="Times New Roman" w:hAnsi="Times New Roman" w:cs="Times New Roman"/>
          <w:color w:val="000000"/>
          <w:sz w:val="24"/>
          <w:szCs w:val="24"/>
          <w:lang w:eastAsia="hu-hu"/>
        </w:rPr>
        <w:t>Polgármester</w:t>
        <w:tab/>
        <w:tab/>
        <w:tab/>
        <w:tab/>
        <w:tab/>
        <w:tab/>
        <w:tab/>
        <w:tab/>
        <w:t>jegyző</w:t>
      </w: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t>Kihirdetve:</w:t>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r>
        <w:br w:type="page"/>
      </w:r>
    </w:p>
    <w:p>
      <w:pPr>
        <w:spacing/>
        <w:jc w:val="right"/>
        <w:rPr>
          <w:rFonts w:ascii="Times New Roman" w:hAnsi="Times New Roman" w:cs="Times New Roman"/>
          <w:b/>
          <w:bCs/>
          <w:sz w:val="24"/>
          <w:szCs w:val="24"/>
        </w:rPr>
      </w:pPr>
      <w:r>
        <w:rPr>
          <w:rFonts w:ascii="Times New Roman" w:hAnsi="Times New Roman" w:cs="Times New Roman"/>
          <w:b/>
          <w:bCs/>
          <w:sz w:val="24"/>
          <w:szCs w:val="24"/>
        </w:rPr>
        <w:t xml:space="preserve">1. melléklet a településkép védelméről szóló ……../2018. (……….) önkormányzati rendelethez </w:t>
      </w:r>
    </w:p>
    <w:p>
      <w:pPr>
        <w:spacing/>
        <w:jc w:val="center"/>
        <w:rPr>
          <w:rFonts w:ascii="Times New Roman" w:hAnsi="Times New Roman" w:cs="Times New Roman"/>
          <w:b/>
          <w:bCs/>
          <w:sz w:val="24"/>
          <w:szCs w:val="24"/>
          <w:u w:color="auto" w:val="single"/>
        </w:rPr>
      </w:pPr>
      <w:r>
        <w:rPr>
          <w:rFonts w:ascii="Times New Roman" w:hAnsi="Times New Roman" w:cs="Times New Roman"/>
          <w:b/>
          <w:bCs/>
          <w:sz w:val="24"/>
          <w:szCs w:val="24"/>
          <w:u w:color="auto" w:val="single"/>
        </w:rPr>
        <w:t>Csorvás város helyi építészeti értékei</w:t>
      </w:r>
    </w:p>
    <w:p>
      <w:pPr>
        <w:spacing/>
        <w:jc w:val="both"/>
      </w:pPr>
      <w:r/>
    </w:p>
    <w:tbl>
      <w:tblPr>
        <w:tblpPr w:horzAnchor="margin" w:tblpX="147" w:vertAnchor="text" w:tblpY="62" w:leftFromText="141" w:rightFromText="141" w:topFromText="0" w:bottomFromText="0"/>
        <w:tblOverlap w:val="never"/>
        <w:name w:val="Táblázat2"/>
        <w:tabOrder w:val="0"/>
        <w:jc w:val="left"/>
        <w:tblInd w:w="0" w:type="dxa"/>
        <w:tblW w:w="9063" w:type="dxa"/>
      </w:tblPr>
      <w:tblGrid>
        <w:gridCol w:w="798"/>
        <w:gridCol w:w="1590"/>
        <w:gridCol w:w="1146"/>
        <w:gridCol w:w="1140"/>
        <w:gridCol w:w="4389"/>
      </w:tblGrid>
      <w:tr>
        <w:trPr>
          <w:trHeight w:val="1105" w:hRule="atLeast"/>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A</w:t>
            </w:r>
          </w:p>
          <w:p>
            <w:pPr>
              <w:spacing/>
              <w:jc w:val="center"/>
              <w:rPr>
                <w:b/>
                <w:bCs/>
              </w:rPr>
            </w:pPr>
            <w:r>
              <w:rPr>
                <w:b/>
                <w:bCs/>
              </w:rPr>
              <w:t>Védett érték  megnevezése,pontos címe</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B</w:t>
            </w:r>
          </w:p>
          <w:p>
            <w:pPr>
              <w:spacing/>
              <w:jc w:val="center"/>
              <w:rPr>
                <w:b/>
                <w:bCs/>
              </w:rPr>
            </w:pPr>
            <w:r>
              <w:rPr>
                <w:b/>
                <w:bCs/>
              </w:rPr>
              <w:t>Helyrajzi száma</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C</w:t>
            </w:r>
          </w:p>
          <w:p>
            <w:pPr>
              <w:spacing/>
              <w:jc w:val="center"/>
              <w:rPr>
                <w:b/>
                <w:bCs/>
              </w:rPr>
            </w:pPr>
            <w:r>
              <w:rPr>
                <w:b/>
                <w:bCs/>
              </w:rPr>
              <w:t>Épület jellege</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D</w:t>
            </w:r>
          </w:p>
          <w:p>
            <w:pPr>
              <w:spacing/>
              <w:jc w:val="center"/>
              <w:rPr>
                <w:b/>
                <w:bCs/>
              </w:rPr>
            </w:pPr>
            <w:r>
              <w:rPr>
                <w:b/>
                <w:bCs/>
              </w:rPr>
              <w:t>Védelem indokolása</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1.</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Petőfi-pusztai kiskastély</w:t>
            </w:r>
          </w:p>
          <w:p>
            <w:pPr>
              <w:spacing/>
              <w:jc w:val="both"/>
            </w:pPr>
            <w:r>
              <w:t>Tanya 273.</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0119/1</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kastély</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Petőfi pusztai megmaradt intézői lak (kiskastély) 1880-ban épült, a legkorábbi kúria Csorváson. A félig elkészült (nagy)kastélyt elhordták, csak az alapok maradtak meg. Az intézői lak jelenleg lakatlan.</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2.</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Rudolf-majori kastély</w:t>
            </w:r>
          </w:p>
          <w:p>
            <w:pPr>
              <w:spacing/>
              <w:jc w:val="both"/>
            </w:pPr>
            <w:r>
              <w:t>Tanya 406.</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049/6</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kastély</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Rudolf-majori kastély az 1925-1928 között épület. Gróf Wenckheim Rudolf vadászkastélynak építette, majd gróf Wenckheim Matild lakta. Az államosítás után TSZ irodaház. A klasszicizáló homlokzati elemekkel díszített épület a 2010-es évben végrehajtott felújítás, korszerűsítés után ifjúsági-turisztikai szálláshelyként funkcionál.</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3.</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Károly-majori magtárépület</w:t>
            </w:r>
          </w:p>
          <w:p>
            <w:pPr>
              <w:spacing/>
              <w:jc w:val="both"/>
            </w:pPr>
            <w:r>
              <w:t>Tanya 409.</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061/4</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ipari emlék</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Károly-majori magtárépület az 1890-es évek körül épített, valószínűleg Ybl Miklós tervei alapján. Jelenleg használaton kívül van.</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4.</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Gróf Wenckheim Károly síremléke Tanya 409.</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061/3</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kegyeleti emlék</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Gróf Wenckheim Károly síremléke.</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5.</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Malomépület</w:t>
            </w:r>
          </w:p>
          <w:p>
            <w:pPr>
              <w:spacing/>
              <w:jc w:val="both"/>
            </w:pPr>
            <w:r>
              <w:t xml:space="preserve">Bajcsy-Zsilinszky </w:t>
            </w:r>
          </w:p>
          <w:p>
            <w:pPr>
              <w:spacing/>
              <w:jc w:val="both"/>
            </w:pPr>
            <w:r>
              <w:t>Endre utca 1/2.</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369/2</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ipari emlék</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 xml:space="preserve">Malomépület, mely gróf Wenckheim Matild tulajdona volt. </w:t>
            </w:r>
          </w:p>
          <w:p>
            <w:pPr>
              <w:spacing/>
              <w:jc w:val="both"/>
            </w:pPr>
            <w:r>
              <w:t>Az 1920-1922 között épült, téglaarchitektúrás homlokzata jól állja a megpróbáltatásokat. Részlegesen raktárként használják.</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6.</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Malomépület</w:t>
            </w:r>
          </w:p>
          <w:p>
            <w:pPr>
              <w:spacing/>
              <w:jc w:val="both"/>
            </w:pPr>
            <w:r>
              <w:t>Rákóczi u. 34.</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344</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ipari emlék</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A település első komoly ipari üzeme, homlokzata vakolatarchitektúrás, felújított. Jelenleg tollfeldolgozó üzemel benne.</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7.</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Városháza épülete</w:t>
            </w:r>
          </w:p>
          <w:p>
            <w:pPr>
              <w:spacing/>
              <w:jc w:val="both"/>
            </w:pPr>
            <w:r>
              <w:t>Rákóczi u. 17.</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659</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közintézmény</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A Városháza épülete 1912-ben épült Községháza céljára. A település arculatának építészeti meghatározója, a helyi ízű romantikus stílusjegyekkel díszített homlokzatával. (Íves és ovális felső kiképzésű ablakok, vakolatkeretek, és vakolatbetétek.) A szárazkapus oldalbejárat, és homlokzati nyílásrend összehangolt építészeti megjelenést biztosít.</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8.</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Volt általános iskola épülete</w:t>
            </w:r>
          </w:p>
          <w:p>
            <w:pPr>
              <w:spacing/>
              <w:jc w:val="both"/>
            </w:pPr>
            <w:r>
              <w:t>Arany János utca 8-10.</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683</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közintézmény</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Az 1906-1907 között épült romantikus stílusjegyekkel díszített homlokzata, ablakai ovális felső kiképzésűek. Homlokzati tagolása, ablakkeretezése tégla szalagokkal keretekkel van megoldva. Eddig általános iskola működött benne.</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9.</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Óvoda épülete</w:t>
            </w:r>
          </w:p>
          <w:p>
            <w:pPr>
              <w:spacing/>
              <w:jc w:val="both"/>
            </w:pPr>
            <w:r>
              <w:t>István király utca 30.</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309/1</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közintézmény</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Az 1906-1907 között épült romantikus stílusjegyekkel díszített homlokzata, ablakai ovális felső kiképzésűek. Homlokzati tagolása, ablakkeretezése tégla szalagokkal keretekkel van megoldva. Jelenleg óvoda működik benne.</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10.</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Kölcsey Ferenc utca 10. szám alatti</w:t>
            </w:r>
          </w:p>
          <w:p>
            <w:pPr>
              <w:spacing/>
              <w:jc w:val="both"/>
            </w:pPr>
            <w:r>
              <w:t>lakóépület</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827</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lakóház</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Az 1900-as évek elején épült. Középosztású szárazkapus bejárata, homlokzatképzése, homlokzati nyílásrendje a polgári házak jellegzetes építészeti elemeit tükrözi.</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11.</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Békéscsabai u. 3. szám alatti lakóépület</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1847</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lakóház</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A szlovák építészeti hagyományokat követő „podsztyenkás” előtornácos ház. Jellegzetessége, hogy az utcai szoba előtt is húzódik egy 1 méter szélességű, 3 faoszlopon nyugvó előtornác, amit díszesen faragott 1 méter magas kerítés választott el az utcától. Hasonló az udvar felöli kiképzés is. Az előtornác és az udvar felőli rész oromdeszkái is faragottak.</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12.</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Széchenyi István utca 19. szám alatti lakóépület</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277</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lakóház</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A csorvási magyar parasztházak egyik legépebb épülete, agyagból készült, döngöléssel. Beosztása megegyezik a szlovák parasztházakéval: tisztaszoba, konyha, lakószoba, kamra. Az udvartól ezt a típust is faoszlopokon nyugvó tornác választja el. Ennek az épületnek az oromdeszkái a legszebben faragottak közzé tartoztak.</w:t>
            </w:r>
          </w:p>
        </w:tc>
      </w:tr>
    </w:tbl>
    <w:p>
      <w:pPr>
        <w:spacing/>
        <w:jc w:val="both"/>
      </w:pPr>
      <w:r/>
    </w:p>
    <w:p>
      <w:pPr>
        <w:spacing/>
        <w:jc w:val="both"/>
      </w:pPr>
      <w:r/>
    </w:p>
    <w:p>
      <w:pPr>
        <w:spacing/>
        <w:jc w:val="both"/>
      </w:pPr>
      <w:r/>
    </w:p>
    <w:p>
      <w:pPr>
        <w:spacing/>
        <w:jc w:val="both"/>
      </w:pPr>
      <w:r/>
    </w:p>
    <w:tbl>
      <w:tblPr>
        <w:tblpPr w:horzAnchor="page" w:tblpX="1339" w:vertAnchor="margin" w:tblpY="0" w:leftFromText="141" w:rightFromText="141" w:topFromText="0" w:bottomFromText="0"/>
        <w:tblOverlap w:val="never"/>
        <w:name w:val="Táblázat2"/>
        <w:tabOrder w:val="0"/>
        <w:jc w:val="left"/>
        <w:tblInd w:w="0" w:type="dxa"/>
        <w:tblW w:w="9063" w:type="dxa"/>
      </w:tblPr>
      <w:tblGrid>
        <w:gridCol w:w="798"/>
        <w:gridCol w:w="1590"/>
        <w:gridCol w:w="1146"/>
        <w:gridCol w:w="1140"/>
        <w:gridCol w:w="4389"/>
      </w:tblGrid>
      <w:tr>
        <w:trPr>
          <w:trHeight w:val="1105" w:hRule="atLeast"/>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A</w:t>
            </w:r>
          </w:p>
          <w:p>
            <w:pPr>
              <w:spacing/>
              <w:jc w:val="center"/>
              <w:rPr>
                <w:b/>
                <w:bCs/>
              </w:rPr>
            </w:pPr>
            <w:r>
              <w:rPr>
                <w:b/>
                <w:bCs/>
              </w:rPr>
              <w:t>Védett érték  megnevezése,pontos címe</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B</w:t>
            </w:r>
          </w:p>
          <w:p>
            <w:pPr>
              <w:spacing/>
              <w:jc w:val="center"/>
              <w:rPr>
                <w:b/>
                <w:bCs/>
              </w:rPr>
            </w:pPr>
            <w:r>
              <w:rPr>
                <w:b/>
                <w:bCs/>
              </w:rPr>
              <w:t>Helyrajzi száma</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C</w:t>
            </w:r>
          </w:p>
          <w:p>
            <w:pPr>
              <w:spacing/>
              <w:jc w:val="center"/>
              <w:rPr>
                <w:b/>
                <w:bCs/>
              </w:rPr>
            </w:pPr>
            <w:r>
              <w:rPr>
                <w:b/>
                <w:bCs/>
              </w:rPr>
              <w:t>Épület jellege</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D</w:t>
            </w:r>
          </w:p>
          <w:p>
            <w:pPr>
              <w:spacing/>
              <w:jc w:val="center"/>
              <w:rPr>
                <w:b/>
                <w:bCs/>
              </w:rPr>
            </w:pPr>
            <w:r>
              <w:rPr>
                <w:b/>
                <w:bCs/>
              </w:rPr>
              <w:t>Védelem indokolása</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1.</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Petőfi-pusztai kiskastély</w:t>
            </w:r>
          </w:p>
          <w:p>
            <w:pPr>
              <w:spacing/>
              <w:jc w:val="both"/>
            </w:pPr>
            <w:r>
              <w:t>Tanya 273.</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0119/1</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kastély</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Petőfi pusztai megmaradt intézői lak (kiskastély) 1880-ban épült, a legkorábbi kúria Csorváson. A félig elkészült (nagy)kastélyt elhordták, csak az alapok maradtak meg. Az intézői lak jelenleg lakatlan.</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2.</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Rudolf-majori kastély</w:t>
            </w:r>
          </w:p>
          <w:p>
            <w:pPr>
              <w:spacing/>
              <w:jc w:val="both"/>
            </w:pPr>
            <w:r>
              <w:t>Tanya 406.</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049/6</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kastély</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Rudolf-majori kastély az 1925-1928 között épület. Gróf Wenckheim Rudolf vadászkastélynak építette, majd gróf Wenckheim Matild lakta. Az államosítás után TSZ irodaház. A klasszicizáló homlokzati elemekkel díszített épület a 2010-es évben végrehajtott felújítás, korszerűsítés után ifjúsági-turisztikai szálláshelyként funkcionál.</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3.</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Károly-majori magtárépület</w:t>
            </w:r>
          </w:p>
          <w:p>
            <w:pPr>
              <w:spacing/>
              <w:jc w:val="both"/>
            </w:pPr>
            <w:r>
              <w:t>Tanya 409.</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061/4</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ipari emlék</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Károly-majori magtárépület az 1890-es évek körül épített, valószínűleg Ybl Miklós tervei alapján. Jelenleg használaton kívül van.</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4.</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Gróf Wenckheim Károly síremléke Tanya 409.</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061/3</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kegyeleti emlék</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Gróf Wenckheim Károly síremléke.</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5.</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Malomépület</w:t>
            </w:r>
          </w:p>
          <w:p>
            <w:pPr>
              <w:spacing/>
              <w:jc w:val="both"/>
            </w:pPr>
            <w:r>
              <w:t xml:space="preserve">Bajcsy-Zsilinszky </w:t>
            </w:r>
          </w:p>
          <w:p>
            <w:pPr>
              <w:spacing/>
              <w:jc w:val="both"/>
            </w:pPr>
            <w:r>
              <w:t>Endre utca 1/2.</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369/2</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ipari emlék</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 xml:space="preserve">Malomépület, mely gróf Wenckheim Matild tulajdona volt. </w:t>
            </w:r>
          </w:p>
          <w:p>
            <w:pPr>
              <w:spacing/>
              <w:jc w:val="both"/>
            </w:pPr>
            <w:r>
              <w:t>Az 1920-1922 között épült, téglaarchitektúrás homlokzata jól állja a megpróbáltatásokat. Részlegesen raktárként használják.</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6.</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Malomépület</w:t>
            </w:r>
          </w:p>
          <w:p>
            <w:pPr>
              <w:spacing/>
              <w:jc w:val="both"/>
            </w:pPr>
            <w:r>
              <w:t>Rákóczi u. 34.</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344</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ipari emlék</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A település első komoly ipari üzeme, homlokzata vakolatarchitektúrás, felújított. Jelenleg tollfeldolgozó üzemel benne.</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7.</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Városháza épülete</w:t>
            </w:r>
          </w:p>
          <w:p>
            <w:pPr>
              <w:spacing/>
              <w:jc w:val="both"/>
            </w:pPr>
            <w:r>
              <w:t>Rákóczi u. 17.</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659</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közintézmény</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A Városháza épülete 1912-ben épült Községháza céljára. A település arculatának építészeti meghatározója, a helyi ízű romantikus stílusjegyekkel díszített homlokzatával. (Íves és ovális felső kiképzésű ablakok, vakolatkeretek, és vakolatbetétek.) A szárazkapus oldalbejárat, és homlokzati nyílásrend összehangolt építészeti megjelenést biztosít.</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8.</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Volt általános iskola épülete</w:t>
            </w:r>
          </w:p>
          <w:p>
            <w:pPr>
              <w:spacing/>
              <w:jc w:val="both"/>
            </w:pPr>
            <w:r>
              <w:t>Arany János utca 8-10.</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683</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közintézmény</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Az 1906-1907 között épült romantikus stílusjegyekkel díszített homlokzata, ablakai ovális felső kiképzésűek. Homlokzati tagolása, ablakkeretezése tégla szalagokkal keretekkel van megoldva. Eddig általános iskola működött benne.</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9.</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Óvoda épülete</w:t>
            </w:r>
          </w:p>
          <w:p>
            <w:pPr>
              <w:spacing/>
              <w:jc w:val="both"/>
            </w:pPr>
            <w:r>
              <w:t>István király utca 30.</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309/1</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közintézmény</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Az 1906-1907 között épült romantikus stílusjegyekkel díszített homlokzata, ablakai ovális felső kiképzésűek. Homlokzati tagolása, ablakkeretezése tégla szalagokkal keretekkel van megoldva. Jelenleg óvoda működik benne.</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10.</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Kölcsey Ferenc utca 10. szám alatti</w:t>
            </w:r>
          </w:p>
          <w:p>
            <w:pPr>
              <w:spacing/>
              <w:jc w:val="both"/>
            </w:pPr>
            <w:r>
              <w:t>lakóépület</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827</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lakóház</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Az 1900-as évek elején épült. Középosztású szárazkapus bejárata, homlokzatképzése, homlokzati nyílásrendje a polgári házak jellegzetes építészeti elemeit tükrözi.</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11.</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Békéscsabai u. 3. szám alatti lakóépület</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1847</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lakóház</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A szlovák építészeti hagyományokat követő „podsztyenkás” előtornácos ház. Jellegzetessége, hogy az utcai szoba előtt is húzódik egy 1 méter szélességű, 3 faoszlopon nyugvó előtornác, amit díszesen faragott 1 méter magas kerítés választott el az utcától. Hasonló az udvar felöli kiképzés is. Az előtornác és az udvar felőli rész oromdeszkái is faragottak.</w:t>
            </w:r>
          </w:p>
        </w:tc>
      </w:tr>
      <w:tr>
        <w:trPr>
          <w:trHeight w:val="0" w:hRule="auto"/>
        </w:trPr>
        <w:tc>
          <w:tcPr>
            <w:tcW w:w="798"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rPr>
                <w:b/>
                <w:bCs/>
              </w:rPr>
            </w:pPr>
            <w:r>
              <w:rPr>
                <w:b/>
                <w:bCs/>
              </w:rPr>
              <w:t>12.</w:t>
            </w:r>
          </w:p>
        </w:tc>
        <w:tc>
          <w:tcPr>
            <w:tcW w:w="159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Széchenyi István utca 19. szám alatti lakóépület</w:t>
            </w:r>
          </w:p>
        </w:tc>
        <w:tc>
          <w:tcPr>
            <w:tcW w:w="1146"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277</w:t>
            </w:r>
          </w:p>
        </w:tc>
        <w:tc>
          <w:tcPr>
            <w:tcW w:w="1140"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center"/>
            </w:pPr>
            <w:r>
              <w:t>lakóház</w:t>
            </w:r>
          </w:p>
        </w:tc>
        <w:tc>
          <w:tcPr>
            <w:tcW w:w="4389" w:type="dxa"/>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27241164" protected="1"/>
          </w:tcPr>
          <w:p>
            <w:pPr>
              <w:spacing/>
              <w:jc w:val="both"/>
            </w:pPr>
            <w:r>
              <w:t>A csorvási magyar parasztházak egyik legépebb épülete, agyagból készült, döngöléssel. Beosztása megegyezik a szlovák parasztházakéval: tisztaszoba, konyha, lakószoba, kamra. Az udvartól ezt a típust is faoszlopokon nyugvó tornác választja el. Ennek az épületnek az oromdeszkái a legszebben faragottak közzé tartoztak.</w:t>
            </w:r>
          </w:p>
        </w:tc>
      </w:tr>
    </w:tbl>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right"/>
        <w:rPr>
          <w:rStyle w:val="char3"/>
          <w:rFonts w:ascii="Times New Roman" w:hAnsi="Times New Roman"/>
          <w:b w:val="0"/>
          <w:bCs w:val="0"/>
          <w:sz w:val="24"/>
          <w:szCs w:val="24"/>
        </w:rPr>
      </w:pPr>
      <w:r>
        <w:rPr>
          <w:b/>
          <w:bCs/>
        </w:rPr>
        <w:t>2. melléklet a településkép védelméről szóló ……../2018. (……….) önkormányzati rendelethez</w:t>
      </w: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center"/>
        <w:rPr>
          <w:rStyle w:val="char3"/>
          <w:rFonts w:ascii="Times New Roman" w:hAnsi="Times New Roman"/>
          <w:sz w:val="24"/>
          <w:szCs w:val="24"/>
        </w:rPr>
      </w:pPr>
      <w:r>
        <w:rPr>
          <w:rStyle w:val="char3"/>
          <w:rFonts w:ascii="Times New Roman" w:hAnsi="Times New Roman"/>
          <w:sz w:val="24"/>
          <w:szCs w:val="24"/>
        </w:rPr>
        <w:t>Csorvás Város településképi szempontból meghatározó területeinek térképi lehatárolása</w:t>
      </w:r>
    </w:p>
    <w:p>
      <w:pPr>
        <w:spacing w:after="0" w:line="240" w:lineRule="auto"/>
        <w:jc w:val="center"/>
        <w:rPr>
          <w:rStyle w:val="char3"/>
          <w:rFonts w:ascii="Times New Roman" w:hAnsi="Times New Roman"/>
          <w:sz w:val="24"/>
          <w:szCs w:val="24"/>
        </w:rPr>
      </w:pPr>
      <w:r>
        <w:rPr>
          <w:rStyle w:val="char3"/>
          <w:rFonts w:ascii="Times New Roman" w:hAnsi="Times New Roman"/>
          <w:sz w:val="24"/>
          <w:szCs w:val="24"/>
        </w:rPr>
      </w:r>
    </w:p>
    <w:p>
      <w:pPr>
        <w:spacing w:after="0" w:line="240" w:lineRule="auto"/>
        <w:jc w:val="center"/>
        <w:rPr>
          <w:rStyle w:val="char3"/>
          <w:rFonts w:ascii="Times New Roman" w:hAnsi="Times New Roman"/>
          <w:sz w:val="24"/>
          <w:szCs w:val="24"/>
        </w:rPr>
      </w:pPr>
      <w:r>
        <w:rPr>
          <w:rStyle w:val="char3"/>
          <w:rFonts w:ascii="Times New Roman" w:hAnsi="Times New Roman"/>
          <w:sz w:val="24"/>
          <w:szCs w:val="24"/>
        </w:rPr>
      </w:r>
    </w:p>
    <w:p>
      <w:pPr>
        <w:spacing w:after="0" w:line="240" w:lineRule="auto"/>
        <w:jc w:val="center"/>
        <w:rPr>
          <w:rStyle w:val="char3"/>
          <w:rFonts w:ascii="Times New Roman" w:hAnsi="Times New Roman"/>
          <w:sz w:val="24"/>
          <w:szCs w:val="24"/>
        </w:rPr>
      </w:pPr>
      <w:r>
        <w:rPr>
          <w:rStyle w:val="char3"/>
          <w:rFonts w:ascii="Times New Roman" w:hAnsi="Times New Roman"/>
          <w:sz w:val="24"/>
          <w:szCs w:val="24"/>
        </w:rPr>
      </w:r>
    </w:p>
    <w:p>
      <w:pPr>
        <w:spacing w:after="0" w:line="240" w:lineRule="auto"/>
        <w:jc w:val="center"/>
        <w:rPr>
          <w:rStyle w:val="char3"/>
          <w:rFonts w:ascii="Times New Roman" w:hAnsi="Times New Roman"/>
          <w:sz w:val="24"/>
          <w:szCs w:val="24"/>
        </w:rPr>
      </w:pPr>
      <w:r>
        <w:rPr>
          <w:rStyle w:val="char3"/>
          <w:rFonts w:ascii="Times New Roman" w:hAnsi="Times New Roman"/>
          <w:sz w:val="24"/>
          <w:szCs w:val="24"/>
        </w:rPr>
      </w:r>
    </w:p>
    <w:p>
      <w:pPr>
        <w:spacing w:after="0" w:line="240" w:lineRule="auto"/>
        <w:jc w:val="center"/>
        <w:rPr>
          <w:rStyle w:val="char3"/>
          <w:rFonts w:ascii="Times New Roman" w:hAnsi="Times New Roman"/>
          <w:sz w:val="24"/>
          <w:szCs w:val="24"/>
        </w:rPr>
      </w:pPr>
      <w:r>
        <w:rPr>
          <w:rStyle w:val="char3"/>
          <w:rFonts w:ascii="Times New Roman" w:hAnsi="Times New Roman"/>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Fonts w:ascii="Times New Roman" w:hAnsi="Times New Roman" w:cs="Times New Roman"/>
          <w:sz w:val="24"/>
          <w:szCs w:val="24"/>
          <w:noProof w:val="1"/>
          <w:lang w:eastAsia="hu-hu"/>
        </w:rPr>
      </w:r>
      <w:r>
        <w:rPr>
          <w:noProof/>
        </w:rPr>
        <w:drawing>
          <wp:inline distT="0" distB="0" distL="0" distR="0">
            <wp:extent cx="5914390" cy="6657975"/>
            <wp:effectExtent l="0" t="0" r="0" b="0"/>
            <wp:docPr id="1" name="Kép2"/>
            <wp:cNvGraphicFramePr/>
            <a:graphic xmlns:a="http://schemas.openxmlformats.org/drawingml/2006/main">
              <a:graphicData uri="http://schemas.openxmlformats.org/drawingml/2006/picture">
                <pic:pic xmlns:pic="http://schemas.openxmlformats.org/drawingml/2006/picture">
                  <pic:nvPicPr>
                    <pic:cNvPr id="1" name="Kép2"/>
                    <pic:cNvPicPr>
                      <a:extLst>
                        <a:ext uri="smNativeData">
                          <sm:smNativeData xmlns:sm="smNativeData" val="SMDATA_16_zNkHW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AAAAAAAAAAAAAAAAAAAAAAAAAAAAAAAAAAAAAAAAAAAAAAAYiQAAPUoAAAAAAAAAAAAAAAAAAA="/>
                        </a:ext>
                      </a:extLst>
                    </pic:cNvPicPr>
                  </pic:nvPicPr>
                  <pic:blipFill>
                    <a:blip r:embed="rId9"/>
                    <a:stretch>
                      <a:fillRect/>
                    </a:stretch>
                  </pic:blipFill>
                  <pic:spPr>
                    <a:xfrm>
                      <a:off x="0" y="0"/>
                      <a:ext cx="5914390" cy="6657975"/>
                    </a:xfrm>
                    <a:prstGeom prst="rect">
                      <a:avLst/>
                    </a:prstGeom>
                    <a:noFill/>
                    <a:ln w="12700">
                      <a:noFill/>
                    </a:ln>
                  </pic:spPr>
                </pic:pic>
              </a:graphicData>
            </a:graphic>
          </wp:inline>
        </w:drawing>
      </w:r>
      <w:r>
        <w:rPr>
          <w:rFonts w:ascii="Times New Roman" w:hAnsi="Times New Roman" w:cs="Times New Roman"/>
          <w:sz w:val="24"/>
          <w:szCs w:val="24"/>
          <w:noProof w:val="1"/>
          <w:lang w:eastAsia="hu-hu"/>
        </w:rPr>
      </w: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center"/>
        <w:rPr>
          <w:rStyle w:val="char3"/>
          <w:rFonts w:ascii="Times New Roman" w:hAnsi="Times New Roman"/>
          <w:sz w:val="24"/>
          <w:szCs w:val="24"/>
        </w:rPr>
      </w:pPr>
      <w:r>
        <w:rPr>
          <w:rStyle w:val="char3"/>
          <w:rFonts w:ascii="Times New Roman" w:hAnsi="Times New Roman"/>
          <w:sz w:val="24"/>
          <w:szCs w:val="24"/>
        </w:rPr>
      </w:r>
    </w:p>
    <w:p>
      <w:pPr>
        <w:sectPr>
          <w:footnotePr>
            <w:pos w:val="pageBottom"/>
            <w:numFmt w:val="decimal"/>
            <w:numStart w:val="1"/>
            <w:numRestart w:val="continuous"/>
          </w:footnotePr>
          <w:endnotePr>
            <w:pos w:val="docEnd"/>
            <w:numFmt w:val="decimal"/>
            <w:numStart w:val="1"/>
            <w:numRestart w:val="continuous"/>
          </w:endnotePr>
          <w:headerReference w:type="default" r:id="rId10"/>
          <w:footerReference w:type="default" r:id="rId11"/>
          <w:type w:val="nextPage"/>
          <w:pgSz w:h="16840" w:w="11910"/>
          <w:pgMar w:left="1300" w:top="1420" w:right="1300" w:bottom="280" w:footer="708"/>
          <w:paperSrc w:first="0" w:other="0"/>
          <w:pgNumType w:fmt="decimal"/>
          <w:tmGutter w:val="3"/>
          <w:mirrorMargins w:val="0"/>
          <w:tmSection w:h="-1">
            <w:tmFooter w:id="0" w:h="0" edge="708"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pPr>
    </w:p>
    <w:p>
      <w:pPr>
        <w:spacing w:after="0" w:line="240" w:lineRule="auto"/>
        <w:jc w:val="right"/>
        <w:rPr>
          <w:rStyle w:val="char3"/>
          <w:rFonts w:ascii="Times New Roman" w:hAnsi="Times New Roman"/>
          <w:sz w:val="24"/>
          <w:szCs w:val="24"/>
        </w:rPr>
      </w:pPr>
      <w:r>
        <w:rPr>
          <w:b/>
          <w:bCs/>
        </w:rPr>
        <w:t>3. melléklet a településkép védelméről szóló ……../2018. (……….) önkormányzati rendelethez</w:t>
      </w:r>
      <w:r>
        <w:rPr>
          <w:rStyle w:val="char3"/>
          <w:rFonts w:ascii="Times New Roman" w:hAnsi="Times New Roman"/>
          <w:sz w:val="24"/>
          <w:szCs w:val="24"/>
        </w:rPr>
      </w:r>
    </w:p>
    <w:p>
      <w:pPr>
        <w:spacing w:after="0" w:line="240" w:lineRule="auto"/>
        <w:jc w:val="center"/>
        <w:rPr>
          <w:rStyle w:val="char3"/>
          <w:rFonts w:ascii="Times New Roman" w:hAnsi="Times New Roman"/>
          <w:sz w:val="24"/>
          <w:szCs w:val="24"/>
        </w:rPr>
      </w:pPr>
      <w:r>
        <w:rPr>
          <w:rStyle w:val="char3"/>
          <w:rFonts w:ascii="Times New Roman" w:hAnsi="Times New Roman"/>
          <w:sz w:val="24"/>
          <w:szCs w:val="24"/>
        </w:rPr>
        <w:tab/>
      </w:r>
    </w:p>
    <w:p>
      <w:pPr>
        <w:spacing w:after="0" w:line="240" w:lineRule="auto"/>
        <w:jc w:val="center"/>
        <w:rPr>
          <w:rStyle w:val="char3"/>
          <w:rFonts w:ascii="Times New Roman" w:hAnsi="Times New Roman"/>
          <w:sz w:val="24"/>
          <w:szCs w:val="24"/>
        </w:rPr>
      </w:pPr>
      <w:r>
        <w:rPr>
          <w:rStyle w:val="char3"/>
          <w:rFonts w:ascii="Times New Roman" w:hAnsi="Times New Roman"/>
          <w:sz w:val="24"/>
          <w:szCs w:val="24"/>
        </w:rPr>
        <w:t>Régészeti lelőhelyek területe</w:t>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color w:val="00b050"/>
          <w:sz w:val="24"/>
          <w:szCs w:val="24"/>
        </w:rPr>
      </w:pPr>
      <w:r>
        <w:rPr>
          <w:rStyle w:val="char3"/>
          <w:rFonts w:ascii="Times New Roman" w:hAnsi="Times New Roman"/>
          <w:b w:val="0"/>
          <w:bCs w:val="0"/>
          <w:color w:val="00b050"/>
          <w:sz w:val="24"/>
          <w:szCs w:val="24"/>
        </w:rPr>
        <w:t>régészeti lelőhelyek</w:t>
      </w:r>
    </w:p>
    <w:tbl>
      <w:tblPr>
        <w:name w:val="Táblázat1"/>
        <w:tabOrder w:val="0"/>
        <w:jc w:val="left"/>
        <w:tblInd w:w="70" w:type="dxa"/>
        <w:tblW w:w="12880" w:type="dxa"/>
      </w:tblPr>
      <w:tblGrid>
        <w:gridCol w:w="860"/>
        <w:gridCol w:w="665"/>
        <w:gridCol w:w="998"/>
        <w:gridCol w:w="1180"/>
        <w:gridCol w:w="2806"/>
        <w:gridCol w:w="910"/>
        <w:gridCol w:w="2441"/>
        <w:gridCol w:w="1500"/>
        <w:gridCol w:w="1520"/>
      </w:tblGrid>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sz w:val="18"/>
                <w:szCs w:val="18"/>
                <w:lang w:eastAsia="hu-hu"/>
              </w:rPr>
            </w:pPr>
            <w:r>
              <w:rPr>
                <w:color w:val="000000"/>
                <w:sz w:val="18"/>
                <w:szCs w:val="18"/>
                <w:lang w:eastAsia="hu-hu"/>
              </w:rPr>
              <w:t>azonosító</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sz w:val="18"/>
                <w:szCs w:val="18"/>
                <w:lang w:eastAsia="hu-hu"/>
              </w:rPr>
            </w:pPr>
            <w:r>
              <w:rPr>
                <w:color w:val="000000"/>
                <w:sz w:val="18"/>
                <w:szCs w:val="18"/>
                <w:lang w:eastAsia="hu-hu"/>
              </w:rPr>
              <w:t>megye</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település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sz w:val="18"/>
                <w:szCs w:val="18"/>
                <w:lang w:eastAsia="hu-hu"/>
              </w:rPr>
            </w:pPr>
            <w:r>
              <w:rPr>
                <w:color w:val="000000"/>
                <w:sz w:val="18"/>
                <w:szCs w:val="18"/>
                <w:lang w:eastAsia="hu-hu"/>
              </w:rPr>
              <w:t>lelőhelyszám</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név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védelem</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HRSZ</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sz w:val="20"/>
                <w:szCs w:val="20"/>
                <w:lang w:eastAsia="hu-hu"/>
              </w:rPr>
            </w:pPr>
            <w:r>
              <w:rPr>
                <w:color w:val="000000"/>
                <w:sz w:val="20"/>
                <w:szCs w:val="20"/>
                <w:lang w:eastAsia="hu-hu"/>
              </w:rPr>
              <w:t>EOV Y koordináta</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sz w:val="20"/>
                <w:szCs w:val="20"/>
                <w:lang w:eastAsia="hu-hu"/>
              </w:rPr>
            </w:pPr>
            <w:r>
              <w:rPr>
                <w:color w:val="000000"/>
                <w:sz w:val="20"/>
                <w:szCs w:val="20"/>
                <w:lang w:eastAsia="hu-hu"/>
              </w:rPr>
              <w:t>EOV X koordináta</w:t>
            </w:r>
          </w:p>
        </w:tc>
      </w:tr>
      <w:tr>
        <w:trPr>
          <w:trHeight w:val="21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1074</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Gombkötő-tanya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0177/18, 0177/16, 0177/17, 0177/19, 0177/21, 0177/23, 0177/24, 063/13, 063/32, 063/30, 063/31, 063/37, 063/36, 063/35, 063/38, 063/34, 063/33, 060</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786570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142426</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1148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Csipák-tanya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0179/9, 0179/10, 0178, 0177/13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786241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142724</w:t>
            </w:r>
          </w:p>
        </w:tc>
      </w:tr>
      <w:tr>
        <w:trPr>
          <w:trHeight w:val="9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1076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Tóth-tanya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0192/31, 0192/32, 0192/33, 0192/34, 0192/35, 0192/36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785141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142833</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1132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4</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földút</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0186/11, 0186/12, 0186/13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785908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143306</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1145</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Felsőnyomási ÁG. 4. üzem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0186/20, 0186/21, 0186/22, 0186/23, 0186/24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785807</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143522</w:t>
            </w:r>
          </w:p>
        </w:tc>
      </w:tr>
      <w:tr>
        <w:trPr>
          <w:trHeight w:val="9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1095</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6</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Nádas</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0186/27, 0186/28, 0186/29, 0186/30, 0186/31, 0186/32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785739</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143716</w:t>
            </w:r>
          </w:p>
        </w:tc>
      </w:tr>
      <w:tr>
        <w:trPr>
          <w:trHeight w:val="9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1073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Felsőnyomási ÁG. 4. üzem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0186/32, 0186/33, 0186/34, 0186/35, 0186/36, 0186/37, 0186/38</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785614</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143808</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1248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Benzinkút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0186/54, 0186/55, 0186/57</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785411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144234</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1249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9</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Benzinkút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0186/55, 0186/56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785522</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144308</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29298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vasúti töltés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0171/43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788426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144149</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1069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Falu K-i oldali vasúti töltése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0171/10, 0171/16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789158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144405</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1115</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Fűzfás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0171/16, 0171/26, 0171/25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789067</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144129</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1071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13</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Fűzfás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0171/10</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789343</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144329</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1279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Fábián-tanya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0171/11, 0171/12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789559</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144053</w:t>
            </w:r>
          </w:p>
        </w:tc>
      </w:tr>
      <w:tr>
        <w:trPr>
          <w:trHeight w:val="9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1278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Fábián-tanya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0171/17, 0171/23, 0171/21, 0171/19, 0171/22, 0171/20, 0171/18</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789278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143891</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1226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16</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Hajas-tanya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0171/7, 0171/8</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789749</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144689</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1080</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Seres J.-tanya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0164/3, 0164/13, 0164/30</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788231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144742</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29299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Kukla L.-tanya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0164/97, 0164/127, 0164/128, 0164/100</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788295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145095</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29300</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19</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Kecskés J.-tanya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0164/126, 0164/125, 0164/25, 0164/26, 0164/93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788126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145304</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29301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20</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47-es út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0164/34, 0164/32, 0157, 0134/2, 0164/36, 0164/35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788103</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145597</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1121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47-es út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0140/12, 0140/11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788490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145881</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1086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22</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Szabados Gy.-tanya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0164/91, 0164/92, 0164/25, 0164/126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788690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145509</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1234</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23</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Györgyi-tanya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0162/50, 0162/51, 0162/53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788868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145705</w:t>
            </w:r>
          </w:p>
        </w:tc>
      </w:tr>
      <w:tr>
        <w:trPr>
          <w:trHeight w:val="15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1221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24</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Molnár-tanya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0162/48, 0157, 0140/34, 0140/37, 0162/52, 0140/33, 0140/32, 0162/49, 0162/47, 0140/35, 0140/36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788985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146104</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1119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25</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47-es út III.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0140/31, 0140/32, 0140/35, 0140/34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788755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146071</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1120</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26</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47-es út IV.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0140/32, 0140/33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788679</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145962</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1202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Szőke-tanya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0140/36, 0140/112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788879</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146336</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29302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Ady Tsz</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0140/29, 0140/30</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788605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146277</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1206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29</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Fehér-tanya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0140/12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788270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146110</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54295</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30</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Fehér-tanya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0140/13, 0140/14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788175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146316</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1204</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Fehér-tanya III.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0140/15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788143</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146463</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1205</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32</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Fehér-tanya IV.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0140/14, 0140/15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787953</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146353</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1207</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33</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Tóth-tanya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0140/15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787822</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146384</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1147</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Seres-tanya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0140/58, 0140/59, 0140/75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787452</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146614</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1082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35</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Szilágyi-tanya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0140/15, 0140/16, 0140/60</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787646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146456</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1213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36</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Tarr J.-tanya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0140/103, 0140/6, 0140/109, 0140/45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788766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146964</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1208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Tóth-tanya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0135/18, 0135/2, 0135/19, 0135/17, 0135/16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787568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146302</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1240</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Felsőnyomási ÁG. IV. üzeme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0125/101, 0125/100, 0125/99, 0125/98</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787379</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146259</w:t>
            </w:r>
          </w:p>
        </w:tc>
      </w:tr>
      <w:tr>
        <w:trPr>
          <w:trHeight w:val="12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1150</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39</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Felsőnyomási ÁG. IV. üzeme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0125/85, 0125/84, 0125/79, 0125/80, 0125/82, 0125/83, 0125/81, 0125/78</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787193</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146628</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1275</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40</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Felsőnyomási ÁG. IV. üzeme III.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0125/90, 0125/91, 0125/92, 0125/93, 0125/96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787241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146359</w:t>
            </w:r>
          </w:p>
        </w:tc>
      </w:tr>
      <w:tr>
        <w:trPr>
          <w:trHeight w:val="9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1276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41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Felsőnyomási ÁG. IV. üzeme IV.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0125/79, 0125/80, 0125/81, 0125/82, 0125/83, 0125/84, 0125/85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787032</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146479</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1142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42</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Felsőnyomási ÁG. IV. üzeme 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0126/60, 0126/21, 0126/20</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787287</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145973</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1166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43</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Dögös-Kákafoki-csatorna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0125/73, 0125/74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786864</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146900</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1171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44</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Dögös-Kákafoki-csatorna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0122/66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786750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147403</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1170</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45</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Dögös-Kákafoki-csatorna III.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0122/66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786589</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147492</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1209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46</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Kacsán-tanya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0142/6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787231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147568</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1211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47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Zengő-tanya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0140/94, 0140/95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787260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147446</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29303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48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Kecskeméti-tanya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0140/50, 0140/34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788247</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147432</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1140</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49</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Kecskeméti-tanya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0155/22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788473</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147430</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1172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50</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Kondacs-tanya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098/7, 098/8, 098/9, 098/10, 098/11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785904</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145386</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1068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Kondacs-tanya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096/11, 096/4, 096/10, 096/5, 08/39, 08/23, 095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785431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145271</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1223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52</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Kerekes-dűlő</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0101/1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784951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146512</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29305</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53</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Vörös Október-dűlő</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096/16, 096/17</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785265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146109</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29306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54</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Zalai-dűlő</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098/20, 098/46, 098/47</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785719</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145950</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1256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55</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Csizmadia-dűlő</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098/30, 098/29, 098/28</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785417</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146367</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1224</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56</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Kerekes-tanya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0101/1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785113</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146662</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29307</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Csizmadia-tanya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098/37, 098/36, 098/30</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785550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146489</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1093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Oláh-dűlő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0101/1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785579</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146828</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1284</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59</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Oláh-dűlő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0101/1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785694</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147171</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1286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60</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Novák-dűlő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0122/49, 0122/50, 0122/51, 0122/52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785840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147248</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1288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61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Novák-dűlő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0122/45, 0122/54, 0122/55, 0122/56, 0122/57</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785927</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147433</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1285</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62</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Novák-dűlő III.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0122/45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785803</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147699</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1087</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63</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Oláh-dűlő III.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0101/1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785293</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147498</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1267</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64</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ÉNY-i aszfaltút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0103/2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785288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148038</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1126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65</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ÉNY-i aszfaltút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0103/2, 0104, 0103/3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785015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147934</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1268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66</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ÉNY-i aszfaltút III.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0103/2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785311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148203</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1127</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67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ÉNy-i aszfalt út IV.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0103/2, 0104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785187</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148267</w:t>
            </w:r>
          </w:p>
        </w:tc>
      </w:tr>
      <w:tr>
        <w:trPr>
          <w:trHeight w:val="9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1154</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68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ÉNY-i aszfaltút 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0122/24, 0122/15, 0122/16, 0122/17, 0122/19, 0122/20</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785449</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148240</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1156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69</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ÉNY-i aszfaltút VI.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0122/16, 0122/17, 0122/19, 0122/20, 0122/18</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785361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148409</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1155</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70</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ÉNY-i aszfaltút VII.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0122/14, 0122/26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785664</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148423</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1153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Dögös-Kákafoki-csatorna IV.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0122/26, 0122/27</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785981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148190</w:t>
            </w:r>
          </w:p>
        </w:tc>
      </w:tr>
      <w:tr>
        <w:trPr>
          <w:trHeight w:val="9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1152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72</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Dögös-Kákafoki-csatorna 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0122/39, 0122/38, 0122/37, 0122/36, 0122/35, 0122/34, 0122/33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786531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148416</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1233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73</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Kacsán-dűlő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0145/56, 0145/57, 0145/58</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787088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147897</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54298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74</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Kacsán-dűlő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0145/56, 0145/57</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787198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147966</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1232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75</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Kacsán-dűlő III.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0145/48, 0145/49</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787086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148227</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1231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76</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Kacsán-dűlő IV.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0145/52, 0145/53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787208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148140</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1164</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Kacsán-dűlő 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0145/49, 0145/48, 0145/50, 0145/47, 0145/46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787311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148307</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1144</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Szabados Gy.-tanya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0134/2, 0136, 0157, 0164/18, 0164/19</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788357</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145765</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34381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79</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Falu K-i oldala, 47-es út 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0140/12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788329</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145889</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34382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80</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Fehér-tanya 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0140/12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788524</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146060</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1229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Petrovszki-tanya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0145/59</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787621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148172</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1212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82</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Zengő-dűlő</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0140/51, 0140/99, 0140/98</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787607</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147429</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1168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83</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Telekgerendás-Csorvás határ vasúti töltése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0169, 0160/3, 0160/2, 0160/1, 0168/9</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790247</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144957</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1220</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84</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Telekgerendás-Csorvás határ vasúti töltése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0162/33, 0162/34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790128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145196</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1219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85</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Kaliczky-tanya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0162/33, 0162/34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790324</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145244</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1272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86</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Petrovszky-tanya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098/43, 098/44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785868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146241</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1271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Csizmadia-dűlő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098/39, 098/40</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785740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146359</w:t>
            </w:r>
          </w:p>
        </w:tc>
      </w:tr>
      <w:tr>
        <w:trPr>
          <w:trHeight w:val="21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1067</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 Faluhely</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011/57, 011/58, 08/16, 08/12, 08/30, 067/11, 08/31, 08/10, 011/59, 067/4, 067/5, 066, 09, 08/17, 08/28, 094, 08/27, 08/5, 08/19, 08/20, 08/25, 08/26, 093/36, 067/7</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784390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145409</w:t>
            </w:r>
          </w:p>
        </w:tc>
      </w:tr>
      <w:tr>
        <w:trPr>
          <w:trHeight w:val="9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1072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91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Gulyás-tanya,-műút</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063/16, 011/23, 011/24, 066, 060/33, 065, 064, 067/65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783025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144367</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1077</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92</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Kismajori bejáró</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067/23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783645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146314</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1088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93</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Sarok-erdő</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067/23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783621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146546</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1075</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94</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Diófás út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067/23, 067/64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783314</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146547</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1107</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95</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Diófás út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069/13, 069/14, 069/15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783071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146778</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1113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96</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Kismajori-dombok</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084/10, 084/11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783160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148357</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1201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97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Ancsin-tanya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088/30, 088/29, 088/32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783392</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148115</w:t>
            </w:r>
          </w:p>
        </w:tc>
      </w:tr>
      <w:tr>
        <w:trPr>
          <w:trHeight w:val="9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1122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98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Nagy-major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088/32, 088/16, 088/21, 088/19, 088/20, 088/22, 088/18</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783626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147689</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34434</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99</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Nagy-major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0103/3, 090/3, 090/4, 091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784254</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147769</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1136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100</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Nagy-major III.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090/5, 090/6, 090/7, 090/8</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783783</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147934</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34435</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Nagy-major IV.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0103/3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784770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147887</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1094</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102</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Kismajori-erdő</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0101/1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784584</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147148</w:t>
            </w:r>
          </w:p>
        </w:tc>
      </w:tr>
      <w:tr>
        <w:trPr>
          <w:trHeight w:val="21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1134</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103</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Felsőnyomás ÁG.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0192/63, 0192/64, 0192/60, 0192/61, 0192/59, 0192/62, 0192/26, 0192/25, 0192/20, 0192/24, 0192/21, 0192/22, 0192/19, 0192/23, 0192/42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784610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143445</w:t>
            </w:r>
          </w:p>
        </w:tc>
      </w:tr>
      <w:tr>
        <w:trPr>
          <w:trHeight w:val="15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1112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104</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Felsőnyomási ÁG.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0192/51, 0192/55, 0192/53, 0192/52, 0192/56, 0192/54, 0192/57, 0192/42, 0192/27, 0188/4, 0192/26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784793</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143164</w:t>
            </w:r>
          </w:p>
        </w:tc>
      </w:tr>
      <w:tr>
        <w:trPr>
          <w:trHeight w:val="24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34436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105</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Külső-Monor</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0194/69, 0194/72, 0194/70, 0194/71, 0194/67, 0194/63, 0194/68, 0194/64, 0194/65, 0194/73, 0194/75, 0194/74, 0194/66, 0194/60, 0194/59, 0194/62, 0194/61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782449</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142483</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1293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Kovács-tanya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040/3, 040/12, 041/4, 041/3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779761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147290</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34383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Gergely-tanya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032/41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779045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145602</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1110</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109</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Külső-Rögrejáró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032/7, 032/8, 032/9, 032/10, 032/11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778304</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146037</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1111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110</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Nagyszénási határ</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032/19, 032/20, 032/21, 035/52, 034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777958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146247</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34384</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Gelény-tábla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052/59, 052/58, 052/57, 052/56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780463</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144358</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34386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112</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Gellény-tanya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052/51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780642</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144247</w:t>
            </w:r>
          </w:p>
        </w:tc>
      </w:tr>
      <w:tr>
        <w:trPr>
          <w:trHeight w:val="9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34437</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113</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Puskás-tanya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0152/11, 0152/13, 0152/14, 0152/12, 0152/10, 0152/33, 0152/34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787945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148737</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1146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114</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Puskás-tanya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0152/34, 0152/33, 0152/7</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788119</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148637</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1228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115</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Medovarszki-tanya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0152/8</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787910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149147</w:t>
            </w:r>
          </w:p>
        </w:tc>
      </w:tr>
      <w:tr>
        <w:trPr>
          <w:trHeight w:val="9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1163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116</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Puskás-tanya III.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0145/69, 0145/68, 0145/70, 0145/71, 0145/72, 0145/67</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787660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148674</w:t>
            </w:r>
          </w:p>
        </w:tc>
      </w:tr>
      <w:tr>
        <w:trPr>
          <w:trHeight w:val="21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1283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Fehér Elek-tanya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013/47, 0194/82, 02, 013/117, 013/115, 013/114, 013/77, 013/111, 013/112, 013/113, 013/79, 013/116, 013/75, 013/73, 013/118, 0194/90, 0194/91, 0194/81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782720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142995</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1108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Felső-dűlő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0145/6, 0145/7, 0145/8</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786132</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149572</w:t>
            </w:r>
          </w:p>
        </w:tc>
      </w:tr>
      <w:tr>
        <w:trPr>
          <w:trHeight w:val="12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1291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119</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Felső-dűlő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0145/14, 0145/17, 0145/15, 0145/19, 0145/16, 0145/18, 0145/89, 0145/20</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786195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149308</w:t>
            </w:r>
          </w:p>
        </w:tc>
      </w:tr>
      <w:tr>
        <w:trPr>
          <w:trHeight w:val="15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1079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120</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Felső-dűlő III.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0145/24, 0145/22, 0145/23, 0145/20, 0145/89, 0145/28, 0145/27, 0145/26, 0145/25, 0145/21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786345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149209</w:t>
            </w:r>
          </w:p>
        </w:tc>
      </w:tr>
      <w:tr>
        <w:trPr>
          <w:trHeight w:val="9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34388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Felső-dűlő IV.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0120/16, 0120/17, 0120/18, 0120/19, 0122/3, 0122/4, 0120/20, 0121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786134</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149044</w:t>
            </w:r>
          </w:p>
        </w:tc>
      </w:tr>
      <w:tr>
        <w:trPr>
          <w:trHeight w:val="21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1264</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122</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Felső-dűlő 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0145/32, 0145/27, 0145/31, 0145/29, 0145/28, 0145/30, 0145/25, 0145/26, 0145/24, 0145/23, 0145/22, 0145/21, 0145/33, 0145/34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786576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149138</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1189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123</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Gelegonya-tanya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0145/35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786488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148897</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1188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124</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Csárda-dűlő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0145/41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786692</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148465</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1263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125</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Gelegonya-tanya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0145/32, 0145/33, 0145/34, 0145/35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786743</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149017</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1081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126</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Csárda-dűlő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0122/1, 0122/2, 0122/3, 0122/4, 0122/5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786151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148791</w:t>
            </w:r>
          </w:p>
        </w:tc>
      </w:tr>
      <w:tr>
        <w:trPr>
          <w:trHeight w:val="9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1084</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Felső-dűlő VI.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0145/81, 0145/14, 0145/10, 0145/12, 0145/11, 0145/9, 0145/13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786816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149701</w:t>
            </w:r>
          </w:p>
        </w:tc>
      </w:tr>
      <w:tr>
        <w:trPr>
          <w:trHeight w:val="9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34390</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Felső-dűlő VII.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0145/20, 0145/14, 0145/17, 0145/15, 0145/19, 0145/16, 0145/18</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786784</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149483</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1178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129</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Nagy-major-dűlő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086/1, 086/2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783782</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148511</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1137</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130</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Nagy-major-dűlő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084/3, 084/2, 084/4, 084/5, 084/6, 084/38</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783563</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148666</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1247</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131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Hüke-halom</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084/25, 084/26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782905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148880</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1253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132</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Vatják-tanya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077/26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782049</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149304</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1129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133</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Szenes-puszta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077/26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781786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149014</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1130</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134</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Petrovszki-tanya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073/12, 073/11, 075/3, 074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781674</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150300</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1128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135</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Nemes-dűlő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082/30</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783248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149775</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34396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136</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Nemes-dűlő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0105/96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784044</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150307</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34397</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137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Nemes-dűlő III.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0112/25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784246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150403</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1179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138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Kis-major-dűlő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0103/2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784579</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147572</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1181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139</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Kis-major-dűlő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0103/2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784940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147483</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54336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140</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Kis-major-dűlő III.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0103/2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784856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147675</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1104</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Horváth-tanya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0194/53, 0194/54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783504</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142086</w:t>
            </w:r>
          </w:p>
        </w:tc>
      </w:tr>
      <w:tr>
        <w:trPr>
          <w:trHeight w:val="9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1149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142</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Ravasz-dűlő</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0181/17, 0181/16, 0181/18, 0181/19, 0181/21, 0181/20, 0181/22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784703</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142050</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1298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143</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Oláh-tanya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035/71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779455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145193</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34444</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Valkóczki-tanya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052/63, 035/71, 021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779741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144834</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1078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Brokna-tanya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055/1, 055/2, 021, 028/5, 028/17, 030/25, 029</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 </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 </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54337</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Külső-Rögrejáró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030/25, 028/17, 029</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779370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144954</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1109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Külső-rögrejáró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032/45, 032/2, 032/3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778580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146011</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1161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Csárda-dűlő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0122/15, 0122/16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785390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148549</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34409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149</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Csárda-dűlő III.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0122/14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785595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148557</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1157</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150</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Csárda-dűlő IV.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0122/8, 0122/9, 0122/10, 0122/11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785753</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148896</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1159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Csárda-dűlő 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0122/10, 0122/11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785788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148681</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1292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152</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Felső-dűlő VIII.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0120/18, 0120/17, 0120/16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786054</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149193</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1193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153</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Nagy-major-erdő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0117/9, 0117/10</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785827</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149819</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1192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154</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Nagy-major-erdő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0117/8, 0117/9</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785730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150008</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1252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155</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Győri-tanya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077/33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782112</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149104</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1258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156</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Győri-tanya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077/33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781852</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148746</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34410</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Nemes-dűlő IV.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0105/92, 0105/93, 0105/94, 0105/95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783973</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150133</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34411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Vitéz-dűlő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0147/34, 0147/35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786151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150338</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34412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159</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Vitéz-dűlő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0147/32, 0147/33, 0147/38, 0148</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786506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150821</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1191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160</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 120. lelőhely</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0147/3, 0147/2, 0147/1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785963</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150052</w:t>
            </w:r>
          </w:p>
        </w:tc>
      </w:tr>
      <w:tr>
        <w:trPr>
          <w:trHeight w:val="3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1096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161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Békési út és orosházi út szöge</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015/2, 015/3, 015/8, 015/7, 02, 051/44, 020/2, 020/11, 015/6, 015/4, 017, 020/3, 0704, 02, 018, 016, 048/1, 048/2, 051/79, 051/80, 051/82, 051/83, 051/84, 051/85, 052/27, 052/28, 0703/42, 0703/44, 0703/60, 0703/61, 0703/62, 0703/63, 0703/41, 0703/59</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781652</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142700</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1243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162</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Ács-tanya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0194/7, 0194/6, 0191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783951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142115</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1242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163</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Ács-dűlő</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0194/14, 0194/11, 0194/12, 0194/10, 0194/13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784019</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142505</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34414</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164</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Polasek-tábla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060/27</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781488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144076</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34415</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165</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 Kiss-tanya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056/7, 056/6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780575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144123</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34416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166</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 Kiss-tábla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056/5, 056/4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780346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144166</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1162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167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Szenes-puszta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077/18</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781698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148905</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34417</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168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Paulik-tanya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043/75, 043/74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778687</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148704</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34418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169</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Rajki-tanya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043/104, 043/105, 043/106, 043/107, 043/108</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779018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148590</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34419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170</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Szenes-puszta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045/79, 045/80, 045/81, 045/73, 045/51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779477</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149354</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34420</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171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Szenes-puszta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045/56, 045/55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780017</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149727</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34431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172</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Obsuszt-tanya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045/63, 045/65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780708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149770</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34432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173</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Rudolf-major-dűlő</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045/116, 045/115, 045/114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780918</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148781</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34433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174</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Telefonos-dűlő</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047/82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780575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146990</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1274</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175</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Köztemető</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51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785601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144839</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1294</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176</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Kinizsi u. 15.</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1896, 1899, 1900</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787271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144894</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1302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177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Kinizsi u. 22.</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1784, 1785, 1846</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787269</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144782</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54402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178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Csorvás-halom</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0177/9, 060, 063/20, 064, 068/69</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787337</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142605</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54403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179</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Hüke-halom</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080, 084/27, 084/26, 077/33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782727</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148865</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59218</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180</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Felső-Sas-halom</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011/57, 011/58</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784126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145306</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81191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181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Polacsek-tábla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060/33, 060/34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782791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144365</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81193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182</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Hajdú-völgy-halom</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035/24, 035/25, 035/26, 035/23, 035/27</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778846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146208</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81195</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183</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Sas-halom</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08/14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784736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144792</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81197</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184</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Rudolf-major</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077/30, 077/31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782593</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148677</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81199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185</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Hüke-halom III.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077/33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782650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148863</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81201</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186</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Hunyadi J. u.</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586, 594, 595, 593, 592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785956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144265</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81203</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187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Bagi tábla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063/26, 063/19</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782371</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144946</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81205</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188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Felső-Sas-halom, Kiss-tanya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011/22, 011/60</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783505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144173</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81207</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189</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Felső-Sas-halom, Mikus tanya 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011/12, 011/26, 011/54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783975</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143973</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81209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190</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Felső-Sas-halom, Mikus tanya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011/54</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784030</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143968</w:t>
            </w:r>
          </w:p>
        </w:tc>
      </w:tr>
      <w:tr>
        <w:trPr>
          <w:trHeight w:val="9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84639</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191</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Gyarmati- tanya</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0155/21, 0155/7, 0155/20, 0155/19, 0155/8, 0155/10, 0155/9</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789906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146317</w:t>
            </w:r>
          </w:p>
        </w:tc>
      </w:tr>
      <w:tr>
        <w:trPr>
          <w:trHeight w:val="9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60902</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Gerendás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Nagy-Gerendás-puszta II.</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060, 063/20, 063/15, 063/14, 0177/24, 0177/57, 0177/61</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786952</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142487</w:t>
            </w:r>
          </w:p>
        </w:tc>
      </w:tr>
      <w:tr>
        <w:trPr>
          <w:trHeight w:val="9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5225</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Kondoros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36</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Pekárik-dűlő IV.</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0107/2, 0108, 0112/25, 0111, 0184/21, 0184/20, 0182</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783859</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151323</w:t>
            </w:r>
          </w:p>
        </w:tc>
      </w:tr>
      <w:tr>
        <w:trPr>
          <w:trHeight w:val="9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5226</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Kondoros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37</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Csorvási határ</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082/14, 082/15, 081, 082/16, 0198/11, 0198/12, 082/13</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782506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150958</w:t>
            </w:r>
          </w:p>
        </w:tc>
      </w:tr>
      <w:tr>
        <w:trPr>
          <w:trHeight w:val="6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5227</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Békés</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Kondoros</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38</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Füves út</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szakmai</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0198/12, 0198/13, 081, 082/14, 082/15</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782256</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single" w:sz="4" w:space="0" w:color="7F7F7F" tmln="1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150895</w:t>
            </w:r>
          </w:p>
        </w:tc>
      </w:tr>
      <w:tr>
        <w:trPr>
          <w:trHeight w:val="300" w:hRule="atLeast"/>
        </w:trPr>
        <w:tc>
          <w:tcPr>
            <w:tcW w:w="860" w:type="dxa"/>
            <w:vAlign w:val="center"/>
            <w:tcMar>
              <w:top w:w="0" w:type="dxa"/>
              <w:left w:w="70" w:type="dxa"/>
              <w:bottom w:w="0" w:type="dxa"/>
              <w:right w:w="70" w:type="dxa"/>
            </w:tcMar>
            <w:tcBorders>
              <w:top w:val="nil" w:sz="0" w:space="0" w:color="000000" tmln="20, 20, 20, 0, 0"/>
              <w:left w:val="nil" w:sz="0" w:space="0" w:color="000000" tmln="20, 20, 20, 0, 0"/>
              <w:bottom w:val="nil" w:sz="0" w:space="0" w:color="000000" tmln="2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 </w:t>
            </w:r>
          </w:p>
        </w:tc>
        <w:tc>
          <w:tcPr>
            <w:tcW w:w="665" w:type="dxa"/>
            <w:vAlign w:val="center"/>
            <w:tcMar>
              <w:top w:w="0" w:type="dxa"/>
              <w:left w:w="70" w:type="dxa"/>
              <w:bottom w:w="0" w:type="dxa"/>
              <w:right w:w="70" w:type="dxa"/>
            </w:tcMar>
            <w:tcBorders>
              <w:top w:val="nil" w:sz="0" w:space="0" w:color="000000" tmln="20, 20, 20, 0, 0"/>
              <w:left w:val="nil" w:sz="0" w:space="0" w:color="000000" tmln="20, 20, 20, 0, 0"/>
              <w:bottom w:val="nil" w:sz="0" w:space="0" w:color="000000" tmln="2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 </w:t>
            </w:r>
          </w:p>
        </w:tc>
        <w:tc>
          <w:tcPr>
            <w:tcW w:w="998" w:type="dxa"/>
            <w:vAlign w:val="center"/>
            <w:tcMar>
              <w:top w:w="0" w:type="dxa"/>
              <w:left w:w="70" w:type="dxa"/>
              <w:bottom w:w="0" w:type="dxa"/>
              <w:right w:w="70" w:type="dxa"/>
            </w:tcMar>
            <w:tcBorders>
              <w:top w:val="nil" w:sz="0" w:space="0" w:color="000000" tmln="20, 20, 20, 0, 0"/>
              <w:left w:val="nil" w:sz="0" w:space="0" w:color="000000" tmln="20, 20, 20, 0, 0"/>
              <w:bottom w:val="nil" w:sz="0" w:space="0" w:color="000000" tmln="2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 </w:t>
            </w:r>
          </w:p>
        </w:tc>
        <w:tc>
          <w:tcPr>
            <w:tcW w:w="1180" w:type="dxa"/>
            <w:vAlign w:val="center"/>
            <w:tcMar>
              <w:top w:w="0" w:type="dxa"/>
              <w:left w:w="70" w:type="dxa"/>
              <w:bottom w:w="0" w:type="dxa"/>
              <w:right w:w="70" w:type="dxa"/>
            </w:tcMar>
            <w:tcBorders>
              <w:top w:val="nil" w:sz="0" w:space="0" w:color="000000" tmln="20, 20, 20, 0, 0"/>
              <w:left w:val="nil" w:sz="0" w:space="0" w:color="000000" tmln="20, 20, 20, 0, 0"/>
              <w:bottom w:val="nil" w:sz="0" w:space="0" w:color="000000" tmln="2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 </w:t>
            </w:r>
          </w:p>
        </w:tc>
        <w:tc>
          <w:tcPr>
            <w:tcW w:w="2806" w:type="dxa"/>
            <w:vAlign w:val="center"/>
            <w:tcMar>
              <w:top w:w="0" w:type="dxa"/>
              <w:left w:w="70" w:type="dxa"/>
              <w:bottom w:w="0" w:type="dxa"/>
              <w:right w:w="70" w:type="dxa"/>
            </w:tcMar>
            <w:tcBorders>
              <w:top w:val="nil" w:sz="0" w:space="0" w:color="000000" tmln="20, 20, 20, 0, 0"/>
              <w:left w:val="nil" w:sz="0" w:space="0" w:color="000000" tmln="20, 20, 20, 0, 0"/>
              <w:bottom w:val="nil" w:sz="0" w:space="0" w:color="000000" tmln="2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 </w:t>
            </w:r>
          </w:p>
        </w:tc>
        <w:tc>
          <w:tcPr>
            <w:tcW w:w="910" w:type="dxa"/>
            <w:vAlign w:val="center"/>
            <w:tcMar>
              <w:top w:w="0" w:type="dxa"/>
              <w:left w:w="70" w:type="dxa"/>
              <w:bottom w:w="0" w:type="dxa"/>
              <w:right w:w="70" w:type="dxa"/>
            </w:tcMar>
            <w:tcBorders>
              <w:top w:val="nil" w:sz="0" w:space="0" w:color="000000" tmln="20, 20, 20, 0, 0"/>
              <w:left w:val="nil" w:sz="0" w:space="0" w:color="000000" tmln="20, 20, 20, 0, 0"/>
              <w:bottom w:val="nil" w:sz="0" w:space="0" w:color="000000" tmln="2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 </w:t>
            </w:r>
          </w:p>
        </w:tc>
        <w:tc>
          <w:tcPr>
            <w:tcW w:w="2441" w:type="dxa"/>
            <w:vAlign w:val="center"/>
            <w:tcMar>
              <w:top w:w="0" w:type="dxa"/>
              <w:left w:w="70" w:type="dxa"/>
              <w:bottom w:w="0" w:type="dxa"/>
              <w:right w:w="70" w:type="dxa"/>
            </w:tcMar>
            <w:tcBorders>
              <w:top w:val="nil" w:sz="0" w:space="0" w:color="000000" tmln="20, 20, 20, 0, 0"/>
              <w:left w:val="nil" w:sz="0" w:space="0" w:color="000000" tmln="20, 20, 20, 0, 0"/>
              <w:bottom w:val="nil" w:sz="0" w:space="0" w:color="000000" tmln="2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rPr>
                <w:color w:val="000000"/>
                <w:lang w:eastAsia="hu-hu"/>
              </w:rPr>
            </w:pPr>
            <w:r>
              <w:rPr>
                <w:color w:val="000000"/>
                <w:lang w:eastAsia="hu-hu"/>
              </w:rPr>
              <w:t> </w:t>
            </w:r>
          </w:p>
        </w:tc>
        <w:tc>
          <w:tcPr>
            <w:tcW w:w="1500" w:type="dxa"/>
            <w:vAlign w:val="center"/>
            <w:tcMar>
              <w:top w:w="0" w:type="dxa"/>
              <w:left w:w="70" w:type="dxa"/>
              <w:bottom w:w="0" w:type="dxa"/>
              <w:right w:w="70" w:type="dxa"/>
            </w:tcMar>
            <w:tcBorders>
              <w:top w:val="nil" w:sz="0" w:space="0" w:color="000000" tmln="20, 20, 20, 0, 0"/>
              <w:left w:val="nil" w:sz="0" w:space="0" w:color="000000" tmln="20, 20, 20, 0, 0"/>
              <w:bottom w:val="nil" w:sz="0" w:space="0" w:color="000000" tmln="20, 20, 20, 0, 0"/>
              <w:right w:val="single" w:sz="4" w:space="0" w:color="7F7F7F" tmln="1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 </w:t>
            </w:r>
          </w:p>
        </w:tc>
        <w:tc>
          <w:tcPr>
            <w:tcW w:w="1520" w:type="dxa"/>
            <w:vAlign w:val="center"/>
            <w:tcMar>
              <w:top w:w="0" w:type="dxa"/>
              <w:left w:w="70" w:type="dxa"/>
              <w:bottom w:w="0" w:type="dxa"/>
              <w:right w:w="7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27241164" protected="1"/>
          </w:tcPr>
          <w:p>
            <w:pPr>
              <w:spacing w:after="0" w:line="240" w:lineRule="auto"/>
              <w:jc w:val="center"/>
              <w:rPr>
                <w:color w:val="000000"/>
                <w:lang w:eastAsia="hu-hu"/>
              </w:rPr>
            </w:pPr>
            <w:r>
              <w:rPr>
                <w:color w:val="000000"/>
                <w:lang w:eastAsia="hu-hu"/>
              </w:rPr>
              <w:t> </w:t>
            </w:r>
          </w:p>
        </w:tc>
      </w:tr>
    </w:tbl>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ectPr>
          <w:footnotePr>
            <w:pos w:val="pageBottom"/>
            <w:numFmt w:val="decimal"/>
            <w:numStart w:val="1"/>
            <w:numRestart w:val="continuous"/>
          </w:footnotePr>
          <w:endnotePr>
            <w:pos w:val="docEnd"/>
            <w:numFmt w:val="decimal"/>
            <w:numStart w:val="1"/>
            <w:numRestart w:val="continuous"/>
          </w:endnotePr>
          <w:headerReference w:type="default" r:id="rId12"/>
          <w:footerReference w:type="default" r:id="rId13"/>
          <w:type w:val="nextPage"/>
          <w:pgSz w:h="11910" w:w="16840" w:orient="landscape"/>
          <w:pgMar w:left="1418" w:top="1298" w:right="1418" w:bottom="1298" w:footer="708"/>
          <w:paperSrc w:first="0" w:other="0"/>
          <w:pgNumType w:fmt="decimal"/>
          <w:tmGutter w:val="3"/>
          <w:mirrorMargins w:val="0"/>
          <w:tmSection w:h="-1">
            <w:tmFooter w:id="0" w:h="0" edge="708"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pPr>
    </w:p>
    <w:p>
      <w:pPr>
        <w:spacing w:after="0" w:line="240" w:lineRule="auto"/>
        <w:jc w:val="right"/>
        <w:rPr>
          <w:b/>
          <w:bCs/>
        </w:rPr>
      </w:pPr>
      <w:r>
        <w:rPr>
          <w:b/>
          <w:bCs/>
        </w:rPr>
        <w:t>4. melléklet a településkép védelméről szóló ……../2018. (……….) önkormányzati rendelethez</w:t>
      </w:r>
    </w:p>
    <w:p>
      <w:pPr>
        <w:spacing w:after="0" w:line="240" w:lineRule="auto"/>
        <w:jc w:val="center"/>
        <w:rPr>
          <w:rStyle w:val="char3"/>
          <w:rFonts w:ascii="Times New Roman" w:hAnsi="Times New Roman"/>
          <w:sz w:val="24"/>
          <w:szCs w:val="24"/>
        </w:rPr>
      </w:pPr>
      <w:r>
        <w:rPr>
          <w:rStyle w:val="char3"/>
          <w:rFonts w:ascii="Times New Roman" w:hAnsi="Times New Roman"/>
          <w:sz w:val="24"/>
          <w:szCs w:val="24"/>
        </w:rPr>
        <w:tab/>
      </w:r>
    </w:p>
    <w:p>
      <w:pPr>
        <w:spacing w:after="0" w:line="240" w:lineRule="auto"/>
        <w:jc w:val="center"/>
        <w:rPr>
          <w:rStyle w:val="char3"/>
          <w:rFonts w:ascii="Times New Roman" w:hAnsi="Times New Roman"/>
          <w:sz w:val="24"/>
          <w:szCs w:val="24"/>
        </w:rPr>
      </w:pPr>
      <w:r>
        <w:rPr>
          <w:rStyle w:val="char3"/>
          <w:rFonts w:ascii="Times New Roman" w:hAnsi="Times New Roman"/>
          <w:sz w:val="24"/>
          <w:szCs w:val="24"/>
        </w:rPr>
        <w:t>Védett természetvédelmi értékek térképi ábrázolása</w:t>
      </w:r>
    </w:p>
    <w:p>
      <w:pPr>
        <w:spacing w:after="0" w:line="240" w:lineRule="auto"/>
        <w:jc w:val="both"/>
        <w:rPr>
          <w:rStyle w:val="char3"/>
          <w:rFonts w:ascii="Times New Roman" w:hAnsi="Times New Roman"/>
          <w:b w:val="0"/>
          <w:bCs w:val="0"/>
          <w:sz w:val="24"/>
          <w:szCs w:val="24"/>
        </w:rPr>
      </w:pPr>
      <w:r>
        <w:rPr>
          <w:rStyle w:val="char3"/>
          <w:rFonts w:ascii="Times New Roman" w:hAnsi="Times New Roman"/>
          <w:b w:val="0"/>
          <w:bCs w:val="0"/>
          <w:sz w:val="24"/>
          <w:szCs w:val="24"/>
        </w:rPr>
      </w:r>
    </w:p>
    <w:p>
      <w:pPr>
        <w:spacing w:after="0" w:line="240" w:lineRule="auto"/>
        <w:jc w:val="both"/>
        <w:rPr>
          <w:rFonts w:ascii="Times New Roman" w:hAnsi="Times New Roman" w:cs="Times New Roman"/>
          <w:sz w:val="24"/>
          <w:szCs w:val="24"/>
          <w:noProof w:val="1"/>
          <w:lang w:eastAsia="hu-hu"/>
        </w:rPr>
      </w:pPr>
      <w:r>
        <w:rPr>
          <w:noProof/>
        </w:rPr>
        <w:drawing>
          <wp:inline distT="0" distB="0" distL="0" distR="0">
            <wp:extent cx="5716905" cy="8168640"/>
            <wp:effectExtent l="0" t="0" r="0" b="0"/>
            <wp:docPr id="2" name="Kép 2"/>
            <wp:cNvGraphicFramePr/>
            <a:graphic xmlns:a="http://schemas.openxmlformats.org/drawingml/2006/main">
              <a:graphicData uri="http://schemas.openxmlformats.org/drawingml/2006/picture">
                <pic:pic xmlns:pic="http://schemas.openxmlformats.org/drawingml/2006/picture">
                  <pic:nvPicPr>
                    <pic:cNvPr id="2" name="Kép 2"/>
                    <pic:cNvPicPr>
                      <a:extLst>
                        <a:ext uri="smNativeData">
                          <sm:smNativeData xmlns:sm="smNativeData" val="SMDATA_16_zNkHW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CsjAABAMgAAKyMAAEAy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AAAAAAAAAAAAAAAAAAAAAAAAAAAAAAAAAAAAAAAAAAAAAAAKyMAAEAyAAAAAAAAAAAAAAAAAAA="/>
                        </a:ext>
                      </a:extLst>
                    </pic:cNvPicPr>
                  </pic:nvPicPr>
                  <pic:blipFill>
                    <a:blip r:embed="rId14"/>
                    <a:stretch>
                      <a:fillRect/>
                    </a:stretch>
                  </pic:blipFill>
                  <pic:spPr>
                    <a:xfrm>
                      <a:off x="0" y="0"/>
                      <a:ext cx="5716905" cy="8168640"/>
                    </a:xfrm>
                    <a:prstGeom prst="rect">
                      <a:avLst/>
                    </a:prstGeom>
                    <a:noFill/>
                    <a:ln w="12700">
                      <a:noFill/>
                    </a:ln>
                  </pic:spPr>
                </pic:pic>
              </a:graphicData>
            </a:graphic>
          </wp:inline>
        </w:drawing>
      </w:r>
      <w:r>
        <w:rPr>
          <w:rFonts w:ascii="Times New Roman" w:hAnsi="Times New Roman" w:cs="Times New Roman"/>
          <w:sz w:val="24"/>
          <w:szCs w:val="24"/>
          <w:noProof w:val="1"/>
          <w:lang w:eastAsia="hu-hu"/>
        </w:rPr>
      </w:r>
    </w:p>
    <w:p>
      <w:pPr>
        <w:spacing w:after="0" w:line="240" w:lineRule="auto"/>
        <w:jc w:val="both"/>
        <w:rPr>
          <w:rFonts w:ascii="Times New Roman" w:hAnsi="Times New Roman" w:cs="Times New Roman"/>
          <w:sz w:val="24"/>
          <w:szCs w:val="24"/>
          <w:noProof w:val="1"/>
          <w:lang w:eastAsia="hu-hu"/>
        </w:rPr>
      </w:pPr>
      <w:r>
        <w:rPr>
          <w:rFonts w:ascii="Times New Roman" w:hAnsi="Times New Roman" w:cs="Times New Roman"/>
          <w:sz w:val="24"/>
          <w:szCs w:val="24"/>
          <w:noProof w:val="1"/>
          <w:lang w:eastAsia="hu-hu"/>
        </w:rPr>
      </w:r>
    </w:p>
    <w:p>
      <w:r/>
    </w:p>
    <w:p>
      <w:r/>
    </w:p>
    <w:p>
      <w:pPr>
        <w:ind w:left="130" w:hanging="10"/>
        <w:spacing w:after="0" w:line="257" w:lineRule="auto"/>
        <w:jc w:val="center"/>
        <w:rPr>
          <w:rFonts w:ascii="Times New Roman" w:hAnsi="Times New Roman" w:cs="Times New Roman"/>
          <w:b/>
          <w:sz w:val="28"/>
          <w:szCs w:val="28"/>
        </w:rPr>
      </w:pPr>
      <w:r>
        <w:rPr>
          <w:rFonts w:ascii="Times New Roman" w:hAnsi="Times New Roman" w:cs="Times New Roman"/>
          <w:b/>
          <w:sz w:val="28"/>
          <w:szCs w:val="28"/>
        </w:rPr>
        <w:t>Indoklás</w:t>
      </w:r>
    </w:p>
    <w:p>
      <w:pPr>
        <w:ind w:right="14"/>
        <w:spacing w:after="402" w:line="266" w:lineRule="auto"/>
        <w:jc w:val="center"/>
        <w:rPr>
          <w:rFonts w:ascii="Times New Roman" w:hAnsi="Times New Roman" w:cs="Times New Roman"/>
          <w:b/>
          <w:sz w:val="28"/>
          <w:szCs w:val="28"/>
        </w:rPr>
      </w:pPr>
      <w:r>
        <w:rPr>
          <w:rFonts w:ascii="Times New Roman" w:hAnsi="Times New Roman" w:cs="Times New Roman"/>
          <w:b/>
          <w:sz w:val="28"/>
          <w:szCs w:val="28"/>
        </w:rPr>
      </w:r>
    </w:p>
    <w:p>
      <w:pPr>
        <w:ind w:right="14"/>
        <w:spacing w:after="402" w:line="266" w:lineRule="auto"/>
        <w:jc w:val="center"/>
        <w:rPr>
          <w:rFonts w:ascii="Times New Roman" w:hAnsi="Times New Roman" w:cs="Times New Roman"/>
          <w:b/>
          <w:sz w:val="28"/>
          <w:szCs w:val="28"/>
        </w:rPr>
      </w:pPr>
      <w:r>
        <w:rPr>
          <w:rFonts w:ascii="Times New Roman" w:hAnsi="Times New Roman" w:cs="Times New Roman"/>
          <w:b/>
          <w:sz w:val="28"/>
          <w:szCs w:val="28"/>
        </w:rPr>
        <w:t>Csorvás Város Önkormányzatának képviselő-testületéhez a településkép védelméről szóló önkormányzati rendelet tervezetéhez</w:t>
      </w:r>
    </w:p>
    <w:p>
      <w:pPr>
        <w:ind w:left="57" w:right="43"/>
        <w:spacing w:after="165"/>
        <w:rPr>
          <w:rFonts w:ascii="Times New Roman" w:hAnsi="Times New Roman" w:cs="Times New Roman"/>
          <w:bCs/>
          <w:sz w:val="24"/>
          <w:szCs w:val="24"/>
        </w:rPr>
      </w:pPr>
      <w:r>
        <w:rPr>
          <w:rStyle w:val="char1"/>
          <w:rFonts w:ascii="Times New Roman" w:hAnsi="Times New Roman" w:cs="Times New Roman"/>
          <w:bCs/>
          <w:sz w:val="24"/>
          <w:szCs w:val="24"/>
        </w:rPr>
        <w:t xml:space="preserve">A településkép védelméről szóló 2016. évi LXXIV. törvény 12. § (2) bekezdésének felhatalmazása alapján az önkormányzatok képviselő-testületének településképi rendeletben kell meghatározniuk a településképi követelményeket,  és a településkép védelmével kapcsolatos egyes szabályokat.  </w:t>
      </w:r>
      <w:r>
        <w:rPr>
          <w:rFonts w:ascii="Times New Roman" w:hAnsi="Times New Roman" w:cs="Times New Roman"/>
          <w:sz w:val="24"/>
          <w:szCs w:val="24"/>
        </w:rPr>
        <w:t>A Településképi törvényben foglaltak végrehajtásának egyik eszköze az önkormányzatok által kidolgozandó településképi rendelet, amelynek tartalmi elemeit, valamint készítésük, módosításuk, egyeztetésük és elfogadásuk szabályait</w:t>
      </w:r>
      <w:r>
        <w:rPr>
          <w:rStyle w:val="char1"/>
          <w:rFonts w:ascii="Times New Roman" w:hAnsi="Times New Roman" w:cs="Times New Roman"/>
          <w:bCs/>
          <w:sz w:val="24"/>
          <w:szCs w:val="24"/>
        </w:rPr>
        <w:t xml:space="preserve"> településfejlesztési koncepcióról, az integrált településfejlesztési stratégiáról és a településrendezési eszközökről, valamint egyes településrendezési sajátos jogintézményekről szóló 314/2012. (XI.8.) Korm. rendelet  (a továbbiakban: Korm. rendelet) 22. §-a szabályozza.</w:t>
      </w:r>
      <w:r>
        <w:rPr>
          <w:rFonts w:ascii="Times New Roman" w:hAnsi="Times New Roman" w:cs="Times New Roman"/>
          <w:sz w:val="24"/>
          <w:szCs w:val="24"/>
        </w:rPr>
        <w:t xml:space="preserve"> </w:t>
      </w:r>
      <w:r>
        <w:rPr>
          <w:rFonts w:ascii="Times New Roman" w:hAnsi="Times New Roman" w:cs="Times New Roman"/>
          <w:bCs/>
          <w:sz w:val="24"/>
          <w:szCs w:val="24"/>
        </w:rPr>
      </w:r>
    </w:p>
    <w:p>
      <w:pPr>
        <w:ind w:left="57" w:right="43"/>
        <w:spacing w:after="0"/>
        <w:rPr>
          <w:rFonts w:ascii="Times New Roman" w:hAnsi="Times New Roman" w:cs="Times New Roman"/>
          <w:sz w:val="24"/>
          <w:szCs w:val="24"/>
        </w:rPr>
      </w:pPr>
      <w:r>
        <w:rPr>
          <w:rFonts w:ascii="Times New Roman" w:hAnsi="Times New Roman" w:cs="Times New Roman"/>
          <w:sz w:val="24"/>
          <w:szCs w:val="24"/>
        </w:rPr>
        <w:t>A Korm. rendelet célja a településkép védelmére irányuló helyi szabályok meghatározása, a településkép megőrzésének és formálásának igényes alakítása, a város szempontjából meghatározó építészeti, településképi értékek megóvása.</w:t>
      </w:r>
    </w:p>
    <w:p>
      <w:pPr>
        <w:ind w:left="57" w:right="43"/>
        <w:spacing w:after="0"/>
        <w:rPr>
          <w:rFonts w:ascii="Times New Roman" w:hAnsi="Times New Roman" w:cs="Times New Roman"/>
          <w:sz w:val="24"/>
          <w:szCs w:val="24"/>
        </w:rPr>
      </w:pPr>
      <w:r>
        <w:rPr>
          <w:rFonts w:ascii="Times New Roman" w:hAnsi="Times New Roman" w:cs="Times New Roman"/>
          <w:sz w:val="24"/>
          <w:szCs w:val="24"/>
        </w:rPr>
        <w:t xml:space="preserve">Csorvás Város Önkormányzata a településkép védelméről szóló rendeletben szabályozza a településképi követelményeket és a településkép-érvényesítési eszközöket. </w:t>
      </w:r>
    </w:p>
    <w:p>
      <w:pPr>
        <w:ind w:left="57" w:right="43"/>
        <w:spacing w:after="0"/>
        <w:rPr>
          <w:rFonts w:ascii="Times New Roman" w:hAnsi="Times New Roman" w:cs="Times New Roman"/>
          <w:sz w:val="24"/>
          <w:szCs w:val="24"/>
        </w:rPr>
      </w:pPr>
      <w:r>
        <w:rPr>
          <w:rFonts w:ascii="Times New Roman" w:hAnsi="Times New Roman" w:cs="Times New Roman"/>
          <w:sz w:val="24"/>
          <w:szCs w:val="24"/>
        </w:rPr>
      </w:r>
    </w:p>
    <w:p>
      <w:pPr>
        <w:ind w:left="57" w:right="43"/>
        <w:spacing w:after="0"/>
        <w:rPr>
          <w:rFonts w:ascii="Times New Roman" w:hAnsi="Times New Roman" w:cs="Times New Roman"/>
          <w:sz w:val="24"/>
          <w:szCs w:val="24"/>
        </w:rPr>
      </w:pPr>
      <w:r>
        <w:rPr>
          <w:rFonts w:ascii="Times New Roman" w:hAnsi="Times New Roman" w:cs="Times New Roman"/>
          <w:sz w:val="24"/>
          <w:szCs w:val="24"/>
        </w:rPr>
        <w:t>A településkép védelmének elemei, a településképi követelmények alkalmazásának felelősségi viszonyai, a településképi véleményezési, a településképi bejelentési és a településképi kötelezési eljárásra vonatkozó részletes szabályok, valamint a hirdetmények, a reklámhordozók létesítésének, elhelyezésének szabályai a magasabb szintű jogszabályi előírásoknak megfelelően a jelen rendelet-tervezetben egységesen kerülnek meghatározásra.</w:t>
      </w:r>
    </w:p>
    <w:p>
      <w:pPr>
        <w:ind w:left="57" w:right="43"/>
        <w:spacing w:after="229"/>
        <w:rPr>
          <w:rFonts w:ascii="Times New Roman" w:hAnsi="Times New Roman" w:cs="Times New Roman"/>
          <w:sz w:val="24"/>
          <w:szCs w:val="24"/>
        </w:rPr>
      </w:pPr>
      <w:r>
        <w:rPr>
          <w:rFonts w:ascii="Times New Roman" w:hAnsi="Times New Roman" w:cs="Times New Roman"/>
          <w:sz w:val="24"/>
          <w:szCs w:val="24"/>
        </w:rPr>
        <w:t xml:space="preserve">A településképi törvény előírásainak megfelelően a településképi rendelet megalapozó dokumentációjaként elkészült városunk Településképi Arculati Kézikönyve. </w:t>
      </w:r>
    </w:p>
    <w:p>
      <w:pPr>
        <w:ind w:left="57" w:right="43"/>
        <w:rPr>
          <w:rFonts w:ascii="Times New Roman" w:hAnsi="Times New Roman" w:cs="Times New Roman"/>
          <w:sz w:val="24"/>
          <w:szCs w:val="24"/>
        </w:rPr>
      </w:pPr>
      <w:r>
        <w:rPr>
          <w:rFonts w:ascii="Times New Roman" w:hAnsi="Times New Roman" w:cs="Times New Roman"/>
          <w:sz w:val="24"/>
          <w:szCs w:val="24"/>
        </w:rPr>
        <w:t>A településképi rendelet állapítja meg a helyi építészeti örökség területi és egyedi védelmét, illetve a védelem megszüntetését, a településszerkezet, településkarakter, tájképi elem és egyéb helyi adottság alapján a településképi szempontból meghatározó területeket, a településképi követelményeket, a településképi véleményezési, a településképi bejelentési és a településképi kötelezési eljárásra vonatkozó részletes szabályokat.</w:t>
      </w:r>
    </w:p>
    <w:p>
      <w:pPr>
        <w:ind w:left="57" w:right="43"/>
        <w:rPr>
          <w:rFonts w:ascii="Times New Roman" w:hAnsi="Times New Roman" w:cs="Times New Roman"/>
          <w:sz w:val="24"/>
          <w:szCs w:val="24"/>
        </w:rPr>
      </w:pPr>
      <w:r>
        <w:rPr>
          <w:rFonts w:ascii="Times New Roman" w:hAnsi="Times New Roman" w:cs="Times New Roman"/>
          <w:sz w:val="24"/>
          <w:szCs w:val="24"/>
        </w:rPr>
      </w:r>
    </w:p>
    <w:p>
      <w:pPr>
        <w:ind w:left="57" w:right="43"/>
        <w:rPr>
          <w:rFonts w:ascii="Times New Roman" w:hAnsi="Times New Roman" w:cs="Times New Roman"/>
          <w:sz w:val="24"/>
          <w:szCs w:val="24"/>
        </w:rPr>
      </w:pPr>
      <w:r>
        <w:rPr>
          <w:rFonts w:ascii="Times New Roman" w:hAnsi="Times New Roman" w:cs="Times New Roman"/>
          <w:sz w:val="24"/>
          <w:szCs w:val="24"/>
        </w:rPr>
        <w:t>A településképi követelmény lehet építmények anyaghasználatára vonatkozó általános építészeti követelmény, országos és helyi védelemben részesülő területekre és elemekre vonatkozó építészeti követelmény, helyi védelemben részesülő értékekre vonatkozó egyedi építészeti követelmény, reklámhordozókra, valamint egyéb műszaki berendezésekre vonatkozó településképi követelmény.</w:t>
      </w:r>
    </w:p>
    <w:p>
      <w:pPr>
        <w:ind w:left="57" w:right="43"/>
        <w:spacing w:after="190"/>
        <w:rPr>
          <w:rFonts w:ascii="Times New Roman" w:hAnsi="Times New Roman" w:cs="Times New Roman"/>
          <w:sz w:val="24"/>
          <w:szCs w:val="24"/>
        </w:rPr>
      </w:pPr>
      <w:r>
        <w:rPr>
          <w:rFonts w:ascii="Times New Roman" w:hAnsi="Times New Roman" w:cs="Times New Roman"/>
          <w:sz w:val="24"/>
          <w:szCs w:val="24"/>
        </w:rPr>
        <w:t xml:space="preserve">A rendelet-tervezetet feltöltöttük a Lechner Tudásközpont által üzemeltett digitális egyeztető felületre, ahol a Korm. rendelet szerinti véleményezési jogkörben eljáró hatóságok - </w:t>
      </w:r>
      <w:r>
        <w:rPr>
          <w:rFonts w:ascii="Times New Roman" w:hAnsi="Times New Roman" w:eastAsia="PD4MLArialMT" w:cs="Times New Roman"/>
          <w:sz w:val="24"/>
          <w:szCs w:val="24"/>
        </w:rPr>
        <w:t xml:space="preserve"> a kulturális örökség védelméért felelős Miniszterelnökséget vezető miniszter, az állami főépítészi hatáskörében eljáró  </w:t>
      </w:r>
      <w:r>
        <w:rPr>
          <w:rFonts w:ascii="Times New Roman" w:hAnsi="Times New Roman" w:cs="Times New Roman"/>
          <w:sz w:val="24"/>
          <w:szCs w:val="24"/>
        </w:rPr>
        <w:t>Békés Megyei Kormányhivatal, a Nemzeti Média- és Hírközlési Hatóság,  a Körös-Maros Nemzeti Park Igazgatósága - véleményezhették azt. A közölt vélemények figyelembe vételével készült el a településkép védelméről szóló önkormányzati rendelet-tervezet.</w:t>
      </w:r>
    </w:p>
    <w:p>
      <w:pPr>
        <w:ind w:right="43"/>
        <w:rPr>
          <w:rFonts w:ascii="Times New Roman" w:hAnsi="Times New Roman" w:cs="Times New Roman"/>
          <w:sz w:val="24"/>
          <w:szCs w:val="24"/>
        </w:rPr>
      </w:pPr>
      <w:r>
        <w:rPr>
          <w:rFonts w:ascii="Times New Roman" w:hAnsi="Times New Roman" w:cs="Times New Roman"/>
          <w:sz w:val="24"/>
          <w:szCs w:val="24"/>
        </w:rPr>
      </w:r>
    </w:p>
    <w:p>
      <w:pPr>
        <w:ind w:right="43"/>
        <w:rPr>
          <w:rFonts w:ascii="Times New Roman" w:hAnsi="Times New Roman" w:cs="Times New Roman"/>
          <w:sz w:val="24"/>
          <w:szCs w:val="24"/>
        </w:rPr>
      </w:pPr>
      <w:r>
        <w:rPr>
          <w:rFonts w:ascii="Times New Roman" w:hAnsi="Times New Roman" w:cs="Times New Roman"/>
          <w:sz w:val="24"/>
          <w:szCs w:val="24"/>
        </w:rPr>
        <w:t>Az elkészült rendelet-tervezet a következő fejezetekre és alcímekre tagolódik:</w:t>
      </w:r>
    </w:p>
    <w:p>
      <w:pPr>
        <w:ind w:right="43"/>
        <w:spacing w:after="3" w:line="266" w:lineRule="auto"/>
        <w:rPr>
          <w:rFonts w:ascii="Times New Roman" w:hAnsi="Times New Roman" w:cs="Times New Roman"/>
          <w:sz w:val="24"/>
          <w:szCs w:val="24"/>
        </w:rPr>
      </w:pPr>
      <w:r>
        <w:rPr>
          <w:rFonts w:ascii="Times New Roman" w:hAnsi="Times New Roman" w:cs="Times New Roman"/>
          <w:sz w:val="24"/>
          <w:szCs w:val="24"/>
        </w:rPr>
      </w:r>
    </w:p>
    <w:p>
      <w:pPr>
        <w:ind w:right="43"/>
        <w:spacing w:after="3" w:line="266" w:lineRule="auto"/>
        <w:rPr>
          <w:rFonts w:ascii="Times New Roman" w:hAnsi="Times New Roman" w:cs="Times New Roman"/>
          <w:sz w:val="24"/>
          <w:szCs w:val="24"/>
        </w:rPr>
      </w:pPr>
      <w:r>
        <w:rPr>
          <w:rFonts w:ascii="Times New Roman" w:hAnsi="Times New Roman" w:cs="Times New Roman"/>
          <w:sz w:val="24"/>
          <w:szCs w:val="24"/>
        </w:rPr>
        <w:t>I. Fejezet: Bevezető rendelkezések</w:t>
      </w:r>
    </w:p>
    <w:p>
      <w:pPr>
        <w:ind w:right="735"/>
        <w:spacing w:after="10"/>
        <w:rPr>
          <w:rFonts w:ascii="Times New Roman" w:hAnsi="Times New Roman" w:cs="Times New Roman"/>
          <w:sz w:val="24"/>
          <w:szCs w:val="24"/>
        </w:rPr>
      </w:pPr>
      <w:r>
        <w:rPr>
          <w:rFonts w:ascii="Times New Roman" w:hAnsi="Times New Roman" w:cs="Times New Roman"/>
          <w:sz w:val="24"/>
          <w:szCs w:val="24"/>
        </w:rPr>
        <w:t xml:space="preserve">A rendelet céljai, hatálya és értelmező rendelkezések </w:t>
      </w:r>
    </w:p>
    <w:p>
      <w:pPr>
        <w:ind w:right="735"/>
        <w:spacing w:after="10"/>
        <w:rPr>
          <w:rFonts w:ascii="Times New Roman" w:hAnsi="Times New Roman" w:cs="Times New Roman"/>
          <w:sz w:val="24"/>
          <w:szCs w:val="24"/>
        </w:rPr>
      </w:pPr>
      <w:r>
        <w:rPr>
          <w:rFonts w:ascii="Times New Roman" w:hAnsi="Times New Roman" w:cs="Times New Roman"/>
          <w:sz w:val="24"/>
          <w:szCs w:val="24"/>
        </w:rPr>
      </w:r>
    </w:p>
    <w:p>
      <w:pPr>
        <w:ind w:right="735"/>
        <w:spacing w:after="10"/>
        <w:rPr>
          <w:rFonts w:ascii="Times New Roman" w:hAnsi="Times New Roman" w:cs="Times New Roman"/>
          <w:sz w:val="24"/>
          <w:szCs w:val="24"/>
        </w:rPr>
      </w:pPr>
      <w:r>
        <w:rPr>
          <w:rFonts w:ascii="Times New Roman" w:hAnsi="Times New Roman" w:cs="Times New Roman"/>
          <w:sz w:val="24"/>
          <w:szCs w:val="24"/>
        </w:rPr>
        <w:t>lI. Fejezet: A helyi értékvédelem</w:t>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Helyi védetté nyilvánítás és annak megszüntetése</w:t>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Védett értékek megszüntetése</w:t>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A védett értékek fenntartása, hasznosítása</w:t>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A védett értékek nyilvántartása</w:t>
      </w:r>
    </w:p>
    <w:p>
      <w:pPr>
        <w:ind w:right="43"/>
        <w:rPr>
          <w:rFonts w:ascii="Times New Roman" w:hAnsi="Times New Roman" w:cs="Times New Roman"/>
          <w:sz w:val="24"/>
          <w:szCs w:val="24"/>
        </w:rPr>
      </w:pPr>
      <w:r>
        <w:rPr>
          <w:rFonts w:ascii="Times New Roman" w:hAnsi="Times New Roman" w:cs="Times New Roman"/>
          <w:sz w:val="24"/>
          <w:szCs w:val="24"/>
        </w:rPr>
      </w:r>
    </w:p>
    <w:p>
      <w:pPr>
        <w:ind w:right="43"/>
        <w:rPr>
          <w:rFonts w:ascii="Times New Roman" w:hAnsi="Times New Roman" w:cs="Times New Roman"/>
          <w:sz w:val="24"/>
          <w:szCs w:val="24"/>
        </w:rPr>
      </w:pPr>
      <w:r>
        <w:rPr>
          <w:rFonts w:ascii="Times New Roman" w:hAnsi="Times New Roman" w:cs="Times New Roman"/>
          <w:sz w:val="24"/>
          <w:szCs w:val="24"/>
        </w:rPr>
        <w:t>Ill. Fejezet: A településképi szempontból meghatározó területek</w:t>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A településképi szempontból meghatározó területek megállapítása</w:t>
      </w:r>
    </w:p>
    <w:p>
      <w:pPr>
        <w:ind w:right="43"/>
        <w:rPr>
          <w:rFonts w:ascii="Times New Roman" w:hAnsi="Times New Roman" w:cs="Times New Roman"/>
          <w:sz w:val="24"/>
          <w:szCs w:val="24"/>
        </w:rPr>
      </w:pPr>
      <w:r>
        <w:rPr>
          <w:rFonts w:ascii="Times New Roman" w:hAnsi="Times New Roman" w:cs="Times New Roman"/>
          <w:sz w:val="24"/>
          <w:szCs w:val="24"/>
        </w:rPr>
      </w:r>
    </w:p>
    <w:p>
      <w:pPr>
        <w:ind w:right="43"/>
        <w:rPr>
          <w:rFonts w:ascii="Times New Roman" w:hAnsi="Times New Roman" w:cs="Times New Roman"/>
          <w:sz w:val="24"/>
          <w:szCs w:val="24"/>
        </w:rPr>
      </w:pPr>
      <w:r>
        <w:rPr>
          <w:rFonts w:ascii="Times New Roman" w:hAnsi="Times New Roman" w:cs="Times New Roman"/>
          <w:sz w:val="24"/>
          <w:szCs w:val="24"/>
        </w:rPr>
        <w:t>IV. Fejezet: A településképi szempontból meghatározó területek</w:t>
      </w:r>
    </w:p>
    <w:p>
      <w:pPr>
        <w:ind w:right="43"/>
        <w:rPr>
          <w:rFonts w:ascii="Times New Roman" w:hAnsi="Times New Roman" w:cs="Times New Roman"/>
          <w:sz w:val="24"/>
          <w:szCs w:val="24"/>
        </w:rPr>
      </w:pPr>
      <w:r>
        <w:rPr>
          <w:rFonts w:ascii="Times New Roman" w:hAnsi="Times New Roman" w:cs="Times New Roman"/>
          <w:sz w:val="24"/>
          <w:szCs w:val="24"/>
        </w:rPr>
        <w:t>Építmények anyaghasználatára vonatkozó általános építészeti követelmények</w:t>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A településképi szempontból meghatározó területek művi elemekkel érintett részére vonatkozó területi és egyedi építészeti követelmények</w:t>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A településképi szempontból meghatározó területek táji, természeti elemekkel érintett részére vonatkozó területi és egyedi építészeti követelmények</w:t>
      </w:r>
    </w:p>
    <w:p>
      <w:pPr>
        <w:spacing w:after="0" w:line="240" w:lineRule="auto"/>
        <w:rPr>
          <w:rFonts w:ascii="Times New Roman" w:hAnsi="Times New Roman" w:cs="Times New Roman"/>
          <w:sz w:val="24"/>
          <w:szCs w:val="24"/>
        </w:rPr>
      </w:pPr>
      <w:r>
        <w:rPr>
          <w:rFonts w:ascii="Times New Roman" w:hAnsi="Times New Roman" w:cs="Times New Roman"/>
          <w:bCs/>
          <w:sz w:val="24"/>
          <w:szCs w:val="24"/>
        </w:rPr>
        <w:t>A helyi védelemben részesülő épületekre vonatkozó építészeti követelmények</w:t>
      </w:r>
      <w:r>
        <w:rPr>
          <w:rFonts w:ascii="Times New Roman" w:hAnsi="Times New Roman" w:cs="Times New Roman"/>
          <w:sz w:val="24"/>
          <w:szCs w:val="24"/>
        </w:rPr>
      </w:r>
    </w:p>
    <w:p>
      <w:pPr>
        <w:ind w:right="43"/>
        <w:rPr>
          <w:rFonts w:ascii="Times New Roman" w:hAnsi="Times New Roman" w:cs="Times New Roman"/>
          <w:sz w:val="24"/>
          <w:szCs w:val="24"/>
        </w:rPr>
      </w:pPr>
      <w:r>
        <w:rPr>
          <w:rFonts w:ascii="Times New Roman" w:hAnsi="Times New Roman" w:cs="Times New Roman"/>
          <w:sz w:val="24"/>
          <w:szCs w:val="24"/>
        </w:rPr>
      </w:r>
    </w:p>
    <w:p>
      <w:pPr>
        <w:ind w:right="43"/>
        <w:rPr>
          <w:rFonts w:ascii="Times New Roman" w:hAnsi="Times New Roman" w:cs="Times New Roman"/>
          <w:sz w:val="24"/>
          <w:szCs w:val="24"/>
        </w:rPr>
      </w:pPr>
      <w:r>
        <w:rPr>
          <w:rFonts w:ascii="Times New Roman" w:hAnsi="Times New Roman" w:cs="Times New Roman"/>
          <w:sz w:val="24"/>
          <w:szCs w:val="24"/>
        </w:rPr>
        <w:t>V. fejezet: A reklámok, és a reklámhordozók elhelyezésére  vonatkozó előírások</w:t>
      </w:r>
    </w:p>
    <w:p>
      <w:pPr>
        <w:pStyle w:val="para4"/>
        <w:ind w:left="0"/>
        <w:spacing w:after="0" w:line="240" w:lineRule="auto"/>
        <w:rPr>
          <w:rFonts w:ascii="Times New Roman" w:hAnsi="Times New Roman" w:cs="Times New Roman"/>
          <w:bCs/>
          <w:sz w:val="24"/>
          <w:szCs w:val="24"/>
        </w:rPr>
      </w:pPr>
      <w:r>
        <w:rPr>
          <w:rFonts w:ascii="Times New Roman" w:hAnsi="Times New Roman" w:cs="Times New Roman"/>
          <w:bCs/>
          <w:sz w:val="24"/>
          <w:szCs w:val="24"/>
        </w:rPr>
        <w:t>A reklámok elhelyezésének általános szabályai közterülten, és a közterületről látható magánterületen</w:t>
      </w:r>
    </w:p>
    <w:p>
      <w:pPr>
        <w:pStyle w:val="para4"/>
        <w:ind w:left="0"/>
        <w:spacing w:after="0" w:line="240" w:lineRule="auto"/>
        <w:rPr>
          <w:rFonts w:ascii="Times New Roman" w:hAnsi="Times New Roman" w:cs="Times New Roman"/>
          <w:bCs/>
          <w:sz w:val="24"/>
          <w:szCs w:val="24"/>
        </w:rPr>
      </w:pPr>
      <w:r>
        <w:rPr>
          <w:rFonts w:ascii="Times New Roman" w:hAnsi="Times New Roman" w:cs="Times New Roman"/>
          <w:bCs/>
          <w:sz w:val="24"/>
          <w:szCs w:val="24"/>
        </w:rPr>
        <w:t>A közterület használatára vonatkozó szabályok</w:t>
      </w:r>
    </w:p>
    <w:p>
      <w:pPr>
        <w:pStyle w:val="para4"/>
        <w:ind w:left="0"/>
        <w:spacing w:after="0" w:line="240" w:lineRule="auto"/>
        <w:rPr>
          <w:rFonts w:ascii="Times New Roman" w:hAnsi="Times New Roman" w:cs="Times New Roman"/>
          <w:bCs/>
          <w:sz w:val="24"/>
          <w:szCs w:val="24"/>
        </w:rPr>
      </w:pPr>
      <w:r>
        <w:rPr>
          <w:rFonts w:ascii="Times New Roman" w:hAnsi="Times New Roman" w:cs="Times New Roman"/>
          <w:bCs/>
          <w:sz w:val="24"/>
          <w:szCs w:val="24"/>
        </w:rPr>
        <w:t>A funkcionális célokat szolgáló utcabútorokra vonatkozó szabályok</w:t>
      </w:r>
    </w:p>
    <w:p>
      <w:pPr>
        <w:pStyle w:val="para4"/>
        <w:ind w:left="0"/>
        <w:spacing w:after="0" w:line="240" w:lineRule="auto"/>
        <w:rPr>
          <w:rFonts w:ascii="Times New Roman" w:hAnsi="Times New Roman" w:cs="Times New Roman"/>
          <w:bCs/>
          <w:sz w:val="24"/>
          <w:szCs w:val="24"/>
        </w:rPr>
      </w:pPr>
      <w:r>
        <w:rPr>
          <w:rFonts w:ascii="Times New Roman" w:hAnsi="Times New Roman" w:cs="Times New Roman"/>
          <w:bCs/>
          <w:sz w:val="24"/>
          <w:szCs w:val="24"/>
        </w:rPr>
        <w:t>Egyes utcabútorok elhelyezésére vonatkozó különleges szabályok</w:t>
      </w:r>
    </w:p>
    <w:p>
      <w:pPr>
        <w:pStyle w:val="para4"/>
        <w:ind w:left="0"/>
        <w:spacing w:after="0" w:line="240" w:lineRule="auto"/>
        <w:rPr>
          <w:rFonts w:ascii="Times New Roman" w:hAnsi="Times New Roman" w:cs="Times New Roman"/>
          <w:bCs/>
          <w:sz w:val="24"/>
          <w:szCs w:val="24"/>
        </w:rPr>
      </w:pPr>
      <w:r>
        <w:rPr>
          <w:rFonts w:ascii="Times New Roman" w:hAnsi="Times New Roman" w:cs="Times New Roman"/>
          <w:bCs/>
          <w:sz w:val="24"/>
          <w:szCs w:val="24"/>
        </w:rPr>
        <w:t>A reklámhordozókra, és a  reklámhordozó berendezésekre vonatkozó követelmények</w:t>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Közművelődési célú hirdetőoszlop létesítése</w:t>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Eltérés a reklámok elhelyezésére vonatkozó szabályoktól</w:t>
      </w:r>
    </w:p>
    <w:p>
      <w:pPr>
        <w:pStyle w:val="para4"/>
        <w:ind w:left="0"/>
        <w:spacing w:after="0" w:line="240" w:lineRule="auto"/>
        <w:rPr>
          <w:rFonts w:ascii="Times New Roman" w:hAnsi="Times New Roman" w:cs="Times New Roman"/>
          <w:bCs/>
          <w:sz w:val="24"/>
          <w:szCs w:val="24"/>
        </w:rPr>
      </w:pPr>
      <w:r>
        <w:rPr>
          <w:rFonts w:ascii="Times New Roman" w:hAnsi="Times New Roman" w:cs="Times New Roman"/>
          <w:bCs/>
          <w:sz w:val="24"/>
          <w:szCs w:val="24"/>
        </w:rPr>
        <w:t>Eltérés a jelentősnek minősített eseményről való tájékoztatás érdekében</w:t>
      </w:r>
    </w:p>
    <w:p>
      <w:pPr>
        <w:pStyle w:val="para4"/>
        <w:ind w:left="0"/>
        <w:spacing w:after="0" w:line="276" w:lineRule="auto"/>
        <w:rPr>
          <w:rFonts w:ascii="Times New Roman" w:hAnsi="Times New Roman" w:cs="Times New Roman"/>
          <w:bCs/>
          <w:sz w:val="24"/>
          <w:szCs w:val="24"/>
        </w:rPr>
      </w:pPr>
      <w:r>
        <w:rPr>
          <w:rFonts w:ascii="Times New Roman" w:hAnsi="Times New Roman" w:cs="Times New Roman"/>
          <w:bCs/>
          <w:sz w:val="24"/>
          <w:szCs w:val="24"/>
        </w:rPr>
        <w:t>Építési reklámháló kihelyezésének engedélyezése</w:t>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A településképi bejelentési eljárás a reklámok és reklámhordozók elhelyezésére</w:t>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A jogellenesen elhelyezett hirdető-berendezések</w:t>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VI. fejezet: a teljes település ellátását biztosító felszíni energiaellátási és elektronikus hírközlési sajátos építmények, műtárgyak elhelyezése</w:t>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Általános előírások</w:t>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Teljes település ellátását biztosító vezeték nélküli elektronikus hírközlés</w:t>
      </w:r>
    </w:p>
    <w:p>
      <w:pPr>
        <w:spacing w:after="0" w:line="240" w:lineRule="auto"/>
        <w:rPr>
          <w:rFonts w:ascii="Times New Roman" w:hAnsi="Times New Roman" w:cs="Times New Roman"/>
          <w:bCs/>
          <w:i/>
          <w:iCs/>
          <w:sz w:val="24"/>
          <w:szCs w:val="24"/>
        </w:rPr>
      </w:pPr>
      <w:r>
        <w:rPr>
          <w:rFonts w:ascii="Times New Roman" w:hAnsi="Times New Roman" w:cs="Times New Roman"/>
          <w:bCs/>
          <w:sz w:val="24"/>
          <w:szCs w:val="24"/>
        </w:rPr>
        <w:t>Felszíni energiaellátási és elektronikus hírközlési sajátos építmények, műtárgyak elhelyezésére vonatkozó egyedi előírások</w:t>
      </w:r>
      <w:r>
        <w:rPr>
          <w:rFonts w:ascii="Times New Roman" w:hAnsi="Times New Roman" w:cs="Times New Roman"/>
          <w:bCs/>
          <w:i/>
          <w:iCs/>
          <w:sz w:val="24"/>
          <w:szCs w:val="24"/>
        </w:rPr>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VII. fejezet. A településképi bejelentési eljárás</w:t>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VIII. fejezet: a településképi kötelezés, településképi bírság</w:t>
      </w:r>
    </w:p>
    <w:p>
      <w:pPr>
        <w:spacing w:after="0" w:line="240" w:lineRule="auto"/>
        <w:rPr>
          <w:rFonts w:ascii="Times New Roman" w:hAnsi="Times New Roman" w:cs="Times New Roman"/>
          <w:sz w:val="24"/>
          <w:szCs w:val="24"/>
        </w:rPr>
      </w:pPr>
      <w:r>
        <w:rPr>
          <w:rFonts w:ascii="Times New Roman" w:hAnsi="Times New Roman" w:cs="Times New Roman"/>
          <w:bCs/>
          <w:sz w:val="24"/>
          <w:szCs w:val="24"/>
        </w:rPr>
        <w:t>A településképi kötelezési eljárás</w:t>
      </w:r>
      <w:r>
        <w:rPr>
          <w:rFonts w:ascii="Times New Roman" w:hAnsi="Times New Roman" w:cs="Times New Roman"/>
          <w:sz w:val="24"/>
          <w:szCs w:val="24"/>
        </w:rPr>
      </w:r>
    </w:p>
    <w:p>
      <w:pPr>
        <w:spacing w:after="0" w:line="240" w:lineRule="auto"/>
        <w:rPr>
          <w:rFonts w:ascii="Times New Roman" w:hAnsi="Times New Roman" w:cs="Times New Roman"/>
          <w:sz w:val="24"/>
          <w:szCs w:val="24"/>
        </w:rPr>
      </w:pPr>
      <w:r>
        <w:rPr>
          <w:rFonts w:ascii="Times New Roman" w:hAnsi="Times New Roman" w:cs="Times New Roman"/>
          <w:bCs/>
          <w:iCs/>
          <w:sz w:val="24"/>
          <w:szCs w:val="24"/>
        </w:rPr>
        <w:t>IX. fejezet</w:t>
      </w:r>
      <w:r>
        <w:rPr>
          <w:rFonts w:ascii="Times New Roman" w:hAnsi="Times New Roman" w:cs="Times New Roman"/>
          <w:sz w:val="24"/>
          <w:szCs w:val="24"/>
        </w:rPr>
        <w:t xml:space="preserve">: </w:t>
      </w:r>
      <w:r>
        <w:rPr>
          <w:rFonts w:ascii="Times New Roman" w:hAnsi="Times New Roman" w:cs="Times New Roman"/>
          <w:bCs/>
          <w:iCs/>
          <w:sz w:val="24"/>
          <w:szCs w:val="24"/>
        </w:rPr>
        <w:t>Záró rendelkezések</w:t>
      </w:r>
      <w:r>
        <w:rPr>
          <w:rFonts w:ascii="Times New Roman" w:hAnsi="Times New Roman" w:cs="Times New Roman"/>
          <w:sz w:val="24"/>
          <w:szCs w:val="24"/>
        </w:rPr>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Hatálybalépés és átmeneti rendelkezések</w:t>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Hatályon kívül helyező rendelkezések</w:t>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t>Mellékletek</w:t>
      </w:r>
    </w:p>
    <w:p>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p>
    <w:p>
      <w:pPr>
        <w:pStyle w:val="para4"/>
        <w:ind w:left="0"/>
        <w:spacing w:after="0" w:line="240" w:lineRule="auto"/>
        <w:rPr>
          <w:rFonts w:ascii="Times New Roman" w:hAnsi="Times New Roman" w:cs="Times New Roman"/>
          <w:b/>
          <w:bCs/>
          <w:sz w:val="24"/>
          <w:szCs w:val="24"/>
        </w:rPr>
      </w:pPr>
      <w:r>
        <w:rPr>
          <w:rFonts w:ascii="Times New Roman" w:hAnsi="Times New Roman" w:cs="Times New Roman"/>
          <w:b/>
          <w:bCs/>
          <w:sz w:val="24"/>
          <w:szCs w:val="24"/>
        </w:rPr>
      </w:r>
    </w:p>
    <w:p>
      <w:pPr>
        <w:pStyle w:val="para4"/>
        <w:ind w:left="0"/>
        <w:spacing w:after="0" w:line="240" w:lineRule="auto"/>
        <w:rPr>
          <w:rFonts w:ascii="Times New Roman" w:hAnsi="Times New Roman" w:cs="Times New Roman"/>
          <w:b/>
          <w:bCs/>
          <w:sz w:val="24"/>
          <w:szCs w:val="24"/>
        </w:rPr>
      </w:pPr>
      <w:r>
        <w:rPr>
          <w:rFonts w:ascii="Times New Roman" w:hAnsi="Times New Roman" w:cs="Times New Roman"/>
          <w:b/>
          <w:bCs/>
          <w:sz w:val="24"/>
          <w:szCs w:val="24"/>
        </w:rPr>
      </w:r>
    </w:p>
    <w:p>
      <w:pPr>
        <w:ind w:right="43"/>
        <w:rPr>
          <w:rFonts w:ascii="Times New Roman" w:hAnsi="Times New Roman" w:cs="Times New Roman"/>
          <w:sz w:val="24"/>
          <w:szCs w:val="24"/>
        </w:rPr>
      </w:pPr>
      <w:r>
        <w:rPr>
          <w:rFonts w:ascii="Times New Roman" w:hAnsi="Times New Roman" w:cs="Times New Roman"/>
          <w:sz w:val="24"/>
          <w:szCs w:val="24"/>
        </w:rPr>
      </w:r>
    </w:p>
    <w:p>
      <w:r/>
    </w:p>
    <w:p>
      <w:r/>
    </w:p>
    <w:p>
      <w:r/>
    </w:p>
    <w:p>
      <w:r/>
    </w:p>
    <w:p>
      <w:r/>
    </w:p>
    <w:p>
      <w:r/>
    </w:p>
    <w:p>
      <w:r/>
    </w:p>
    <w:p>
      <w:r/>
    </w:p>
    <w:p>
      <w:r/>
    </w:p>
    <w:p>
      <w:r/>
    </w:p>
    <w:p>
      <w:r/>
    </w:p>
    <w:p>
      <w:r/>
    </w:p>
    <w:p>
      <w:r/>
    </w:p>
    <w:p>
      <w:r/>
    </w:p>
    <w:p>
      <w:r/>
    </w:p>
    <w:p>
      <w:r/>
    </w:p>
    <w:p>
      <w:r>
        <w:rPr>
          <w:noProof/>
        </w:rPr>
        <w:drawing>
          <wp:anchor distT="0" distB="0" distL="114935" distR="114935" simplePos="0" relativeHeight="251658245" behindDoc="1" locked="0" layoutInCell="0" hidden="0" allowOverlap="1">
            <wp:simplePos x="0" y="0"/>
            <wp:positionH relativeFrom="column">
              <wp:posOffset>-685800</wp:posOffset>
            </wp:positionH>
            <wp:positionV relativeFrom="paragraph">
              <wp:posOffset>-342900</wp:posOffset>
            </wp:positionV>
            <wp:extent cx="7190740" cy="1756410"/>
            <wp:effectExtent l="0" t="0" r="0" b="0"/>
            <wp:wrapNone/>
            <wp:docPr id="5" name="Kép3"/>
            <wp:cNvGraphicFramePr/>
            <a:graphic xmlns:a="http://schemas.openxmlformats.org/drawingml/2006/main">
              <a:graphicData uri="http://schemas.openxmlformats.org/drawingml/2006/picture">
                <pic:pic xmlns:pic="http://schemas.openxmlformats.org/drawingml/2006/picture">
                  <pic:nvPicPr>
                    <pic:cNvPr id="5" name="Kép3"/>
                    <pic:cNvPicPr>
                      <a:extLst>
                        <a:ext uri="smNativeData">
                          <sm:smNativeData xmlns:sm="smNativeData" val="SMDATA_16_zNkHWxMAAAAlAAAAEQAAAA0AAAAAAQAAAAEAAAABAAAAA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PAwAAAAAAAAAAAAAAAAAAAAAAAAIAAADI+///AAAAAAIAAADk/f//PCwAAM4KAAAtAAIAUQEAAG0DAAA="/>
                        </a:ext>
                      </a:extLst>
                    </pic:cNvPicPr>
                  </pic:nvPicPr>
                  <pic:blipFill>
                    <a:blip r:embed="rId8"/>
                    <a:stretch>
                      <a:fillRect/>
                    </a:stretch>
                  </pic:blipFill>
                  <pic:spPr>
                    <a:xfrm>
                      <a:off x="0" y="0"/>
                      <a:ext cx="7190740" cy="1756410"/>
                    </a:xfrm>
                    <a:prstGeom prst="rect">
                      <a:avLst/>
                    </a:prstGeom>
                    <a:solidFill>
                      <a:srgbClr val="FFFFFF"/>
                    </a:solidFill>
                    <a:ln w="12700">
                      <a:noFill/>
                    </a:ln>
                  </pic:spPr>
                </pic:pic>
              </a:graphicData>
            </a:graphic>
          </wp:anchor>
        </w:drawing>
      </w:r>
      <w:r/>
    </w:p>
    <w:p>
      <w:r/>
    </w:p>
    <w:p>
      <w:r/>
    </w:p>
    <w:p>
      <w:pPr>
        <w:pStyle w:val="para2"/>
        <w:spacing w:before="0" w:after="0"/>
        <w:jc w:val="center"/>
      </w:pPr>
      <w:r>
        <w:rPr>
          <w:rFonts w:ascii="DejaVu Serif" w:hAnsi="DejaVu Serif" w:cs="DejaVu Serif"/>
          <w:sz w:val="26"/>
          <w:szCs w:val="26"/>
        </w:rPr>
        <w:t xml:space="preserve">CSORVÁS VÁROS ÖNKORMÁNYZATÁNAK </w:t>
        <w:br w:type="textWrapping"/>
        <w:t>JEGYZŐJE</w:t>
      </w:r>
      <w:r/>
    </w:p>
    <w:p>
      <w:pPr>
        <w:pStyle w:val="para2"/>
        <w:ind w:left="1080"/>
        <w:spacing w:before="0" w:after="0"/>
        <w:jc w:val="center"/>
      </w:pPr>
      <w:r>
        <w:rPr>
          <w:rFonts w:ascii="DejaVu Serif" w:hAnsi="DejaVu Serif" w:cs="DejaVu Serif"/>
          <w:sz w:val="20"/>
          <w:szCs w:val="20"/>
        </w:rPr>
        <w:t>5920 Csorvás, Rákóczi u. 17. Tel: 66/258-001 e-mail: pmh@csorvas.hu</w:t>
      </w:r>
      <w:r/>
    </w:p>
    <w:p>
      <w:pPr>
        <w:ind w:left="900" w:right="898"/>
        <w:rPr>
          <w:rFonts w:ascii="DejaVu Serif" w:hAnsi="DejaVu Serif" w:cs="DejaVu Serif"/>
          <w:sz w:val="20"/>
          <w:szCs w:val="20"/>
        </w:rPr>
      </w:pPr>
      <w:r>
        <w:rPr>
          <w:rFonts w:ascii="DejaVu Serif" w:hAnsi="DejaVu Serif" w:cs="DejaVu Serif"/>
          <w:sz w:val="20"/>
          <w:szCs w:val="20"/>
        </w:rPr>
      </w:r>
    </w:p>
    <w:p>
      <w:r/>
    </w:p>
    <w:p>
      <w:pPr>
        <w:spacing/>
        <w:jc w:val="center"/>
        <w:rPr>
          <w:rFonts w:ascii="Times New Roman" w:hAnsi="Times New Roman" w:cs="Times New Roman"/>
          <w:sz w:val="24"/>
          <w:szCs w:val="24"/>
        </w:rPr>
      </w:pPr>
      <w:r>
        <w:rPr>
          <w:rFonts w:ascii="Times New Roman" w:hAnsi="Times New Roman" w:cs="Times New Roman"/>
          <w:sz w:val="24"/>
          <w:szCs w:val="24"/>
        </w:rPr>
        <w:t>Csorvás Város Önkormányzatának</w:t>
      </w:r>
    </w:p>
    <w:p>
      <w:pPr>
        <w:spacing/>
        <w:jc w:val="center"/>
        <w:rPr>
          <w:rFonts w:ascii="Times New Roman" w:hAnsi="Times New Roman" w:cs="Times New Roman"/>
          <w:sz w:val="24"/>
          <w:szCs w:val="24"/>
        </w:rPr>
      </w:pPr>
      <w:r>
        <w:rPr>
          <w:rFonts w:ascii="Times New Roman" w:hAnsi="Times New Roman" w:cs="Times New Roman"/>
          <w:sz w:val="24"/>
          <w:szCs w:val="24"/>
        </w:rPr>
        <w:t>Képviselő-testületéhez</w:t>
      </w:r>
    </w:p>
    <w:p>
      <w:pPr>
        <w:spacing/>
        <w:jc w:val="center"/>
        <w:rPr>
          <w:rFonts w:ascii="Times New Roman" w:hAnsi="Times New Roman" w:cs="Times New Roman"/>
          <w:sz w:val="24"/>
          <w:szCs w:val="24"/>
        </w:rPr>
      </w:pPr>
      <w:r>
        <w:rPr>
          <w:rFonts w:ascii="Times New Roman" w:hAnsi="Times New Roman" w:cs="Times New Roman"/>
          <w:sz w:val="24"/>
          <w:szCs w:val="24"/>
        </w:rPr>
      </w:r>
    </w:p>
    <w:p>
      <w:pPr>
        <w:spacing/>
        <w:jc w:val="center"/>
        <w:rPr>
          <w:rFonts w:ascii="Times New Roman" w:hAnsi="Times New Roman" w:cs="Times New Roman"/>
          <w:sz w:val="24"/>
          <w:szCs w:val="24"/>
        </w:rPr>
      </w:pPr>
      <w:r>
        <w:rPr>
          <w:rFonts w:ascii="Times New Roman" w:hAnsi="Times New Roman" w:cs="Times New Roman"/>
          <w:sz w:val="24"/>
          <w:szCs w:val="24"/>
        </w:rPr>
        <w:t>Tájékoztatás</w:t>
      </w:r>
    </w:p>
    <w:p>
      <w:pPr>
        <w:spacing/>
        <w:jc w:val="center"/>
        <w:rPr>
          <w:rFonts w:ascii="Times New Roman" w:hAnsi="Times New Roman" w:cs="Times New Roman"/>
          <w:b/>
          <w:sz w:val="24"/>
          <w:szCs w:val="24"/>
        </w:rPr>
      </w:pPr>
      <w:r>
        <w:rPr>
          <w:rFonts w:ascii="Times New Roman" w:hAnsi="Times New Roman" w:cs="Times New Roman"/>
          <w:sz w:val="24"/>
          <w:szCs w:val="24"/>
        </w:rPr>
        <w:t>a településkép védelméről szóló rendelet tervezet</w:t>
      </w:r>
      <w:r>
        <w:rPr>
          <w:rFonts w:ascii="Times New Roman" w:hAnsi="Times New Roman" w:cs="Times New Roman"/>
          <w:b/>
          <w:sz w:val="24"/>
          <w:szCs w:val="24"/>
        </w:rPr>
      </w:r>
    </w:p>
    <w:p>
      <w:pPr>
        <w:spacing/>
        <w:jc w:val="center"/>
        <w:rPr>
          <w:rFonts w:ascii="Times New Roman" w:hAnsi="Times New Roman" w:cs="Times New Roman"/>
          <w:b/>
          <w:sz w:val="24"/>
          <w:szCs w:val="24"/>
        </w:rPr>
      </w:pPr>
      <w:r>
        <w:rPr>
          <w:rFonts w:ascii="Times New Roman" w:hAnsi="Times New Roman" w:cs="Times New Roman"/>
          <w:b/>
          <w:sz w:val="24"/>
          <w:szCs w:val="24"/>
        </w:rPr>
        <w:t>előzetes hatásvizsgálatának eredményéről</w:t>
      </w:r>
    </w:p>
    <w:p>
      <w:pPr>
        <w:rPr>
          <w:rFonts w:ascii="Times New Roman" w:hAnsi="Times New Roman" w:cs="Times New Roman"/>
          <w:b/>
          <w:sz w:val="24"/>
          <w:szCs w:val="24"/>
        </w:rPr>
      </w:pPr>
      <w:r>
        <w:rPr>
          <w:rFonts w:ascii="Times New Roman" w:hAnsi="Times New Roman" w:cs="Times New Roman"/>
          <w:b/>
          <w:sz w:val="24"/>
          <w:szCs w:val="24"/>
        </w:rPr>
      </w:r>
    </w:p>
    <w:p>
      <w:pPr>
        <w:rPr>
          <w:rFonts w:ascii="Times New Roman" w:hAnsi="Times New Roman" w:cs="Times New Roman"/>
          <w:b/>
          <w:sz w:val="24"/>
          <w:szCs w:val="24"/>
        </w:rPr>
      </w:pPr>
      <w:r>
        <w:rPr>
          <w:rFonts w:ascii="Times New Roman" w:hAnsi="Times New Roman" w:cs="Times New Roman"/>
          <w:b/>
          <w:sz w:val="24"/>
          <w:szCs w:val="24"/>
        </w:rPr>
      </w:r>
    </w:p>
    <w:p>
      <w:pPr>
        <w:rPr>
          <w:rFonts w:ascii="Times New Roman" w:hAnsi="Times New Roman" w:cs="Times New Roman"/>
          <w:b/>
          <w:sz w:val="24"/>
          <w:szCs w:val="24"/>
        </w:rPr>
      </w:pPr>
      <w:r>
        <w:rPr>
          <w:rFonts w:ascii="Times New Roman" w:hAnsi="Times New Roman" w:cs="Times New Roman"/>
          <w:b/>
          <w:sz w:val="24"/>
          <w:szCs w:val="24"/>
        </w:rPr>
        <w:t>Készült: a jogalkotásról szóló 2010. évi CXXX. Törvény ( a továbbiakban: Jat.) 17.§ -a alapján.</w:t>
      </w:r>
    </w:p>
    <w:p>
      <w:pPr>
        <w:ind w:right="43"/>
        <w:spacing w:after="291"/>
        <w:rPr>
          <w:rFonts w:ascii="Times New Roman" w:hAnsi="Times New Roman" w:cs="Times New Roman"/>
          <w:sz w:val="24"/>
          <w:szCs w:val="24"/>
        </w:rPr>
      </w:pPr>
      <w:r>
        <w:rPr>
          <w:rFonts w:ascii="Times New Roman" w:hAnsi="Times New Roman" w:cs="Times New Roman"/>
          <w:sz w:val="24"/>
          <w:szCs w:val="24"/>
        </w:rPr>
      </w:r>
    </w:p>
    <w:p>
      <w:pPr>
        <w:ind w:right="43"/>
        <w:spacing w:after="291"/>
        <w:rPr>
          <w:rFonts w:ascii="Times New Roman" w:hAnsi="Times New Roman" w:cs="Times New Roman"/>
          <w:sz w:val="24"/>
          <w:szCs w:val="24"/>
        </w:rPr>
      </w:pPr>
      <w:r>
        <w:rPr>
          <w:rFonts w:ascii="Times New Roman" w:hAnsi="Times New Roman" w:cs="Times New Roman"/>
          <w:sz w:val="24"/>
          <w:szCs w:val="24"/>
        </w:rPr>
        <w:t>Tisztelt Képviselő-testület!</w:t>
      </w:r>
    </w:p>
    <w:p>
      <w:pPr>
        <w:ind w:right="43"/>
        <w:spacing w:after="291"/>
        <w:rPr>
          <w:rFonts w:ascii="Times New Roman" w:hAnsi="Times New Roman" w:cs="Times New Roman"/>
          <w:sz w:val="24"/>
          <w:szCs w:val="24"/>
        </w:rPr>
      </w:pPr>
      <w:r>
        <w:rPr>
          <w:rFonts w:ascii="Times New Roman" w:hAnsi="Times New Roman" w:cs="Times New Roman"/>
          <w:sz w:val="24"/>
          <w:szCs w:val="24"/>
        </w:rPr>
        <w:t xml:space="preserve">A Jat. 17. §-a (1) bekezdése a következőkről rendelkezik: </w:t>
      </w:r>
    </w:p>
    <w:p>
      <w:pPr>
        <w:rPr>
          <w:rFonts w:ascii="Times New Roman" w:hAnsi="Times New Roman" w:cs="Times New Roman"/>
          <w:sz w:val="24"/>
          <w:szCs w:val="24"/>
        </w:rPr>
      </w:pPr>
      <w:r>
        <w:rPr>
          <w:rFonts w:ascii="Times New Roman" w:hAnsi="Times New Roman" w:cs="Times New Roman"/>
          <w:sz w:val="24"/>
          <w:szCs w:val="24"/>
        </w:rPr>
        <w:t xml:space="preserve">„17. § (1) A jogszabály előkészítője – a jogszabály feltételezett hatásaihoz igazodó részletességű– előzetes hatásvizsgálat elvégzésével felméri a szabályozás várható következményeit. Az előzetes hatásvizsgálat eredményéről önkormányzati rendelet esetén a helyi </w:t>
      </w:r>
    </w:p>
    <w:p>
      <w:pPr>
        <w:rPr>
          <w:rFonts w:ascii="Times New Roman" w:hAnsi="Times New Roman" w:cs="Times New Roman"/>
          <w:sz w:val="24"/>
          <w:szCs w:val="24"/>
        </w:rPr>
      </w:pPr>
      <w:r>
        <w:rPr>
          <w:rFonts w:ascii="Times New Roman" w:hAnsi="Times New Roman" w:cs="Times New Roman"/>
          <w:sz w:val="24"/>
          <w:szCs w:val="24"/>
        </w:rPr>
        <w:t xml:space="preserve">önkormányzat képviselő-testületét tájékoztatni kell. </w:t>
      </w:r>
    </w:p>
    <w:p>
      <w:pPr>
        <w:rPr>
          <w:rFonts w:ascii="Times New Roman" w:hAnsi="Times New Roman" w:cs="Times New Roman"/>
          <w:sz w:val="24"/>
          <w:szCs w:val="24"/>
        </w:rPr>
      </w:pPr>
      <w:r>
        <w:rPr>
          <w:rFonts w:ascii="Times New Roman" w:hAnsi="Times New Roman" w:cs="Times New Roman"/>
          <w:sz w:val="24"/>
          <w:szCs w:val="24"/>
        </w:rPr>
        <w:t xml:space="preserve">(2) A hatásvizsgálat során vizsgálni kell </w:t>
      </w:r>
    </w:p>
    <w:p>
      <w:pPr>
        <w:rPr>
          <w:rFonts w:ascii="Times New Roman" w:hAnsi="Times New Roman" w:cs="Times New Roman"/>
          <w:sz w:val="24"/>
          <w:szCs w:val="24"/>
        </w:rPr>
      </w:pPr>
      <w:r>
        <w:rPr>
          <w:rFonts w:ascii="Times New Roman" w:hAnsi="Times New Roman" w:cs="Times New Roman"/>
          <w:sz w:val="24"/>
          <w:szCs w:val="24"/>
        </w:rPr>
        <w:t xml:space="preserve">a) a tervezett jogszabály valamennyi jelentősnek ítélt hatását, különösen </w:t>
      </w:r>
    </w:p>
    <w:p>
      <w:pPr>
        <w:rPr>
          <w:rFonts w:ascii="Times New Roman" w:hAnsi="Times New Roman" w:cs="Times New Roman"/>
          <w:sz w:val="24"/>
          <w:szCs w:val="24"/>
        </w:rPr>
      </w:pPr>
      <w:r>
        <w:rPr>
          <w:rFonts w:ascii="Times New Roman" w:hAnsi="Times New Roman" w:cs="Times New Roman"/>
          <w:sz w:val="24"/>
          <w:szCs w:val="24"/>
        </w:rPr>
        <w:t xml:space="preserve">aa) társadalmi, gazdasági, költségvetési hatásait, </w:t>
      </w:r>
    </w:p>
    <w:p>
      <w:pPr>
        <w:rPr>
          <w:rFonts w:ascii="Times New Roman" w:hAnsi="Times New Roman" w:cs="Times New Roman"/>
          <w:sz w:val="24"/>
          <w:szCs w:val="24"/>
        </w:rPr>
      </w:pPr>
      <w:r>
        <w:rPr>
          <w:rFonts w:ascii="Times New Roman" w:hAnsi="Times New Roman" w:cs="Times New Roman"/>
          <w:sz w:val="24"/>
          <w:szCs w:val="24"/>
        </w:rPr>
        <w:t xml:space="preserve">ab) környezeti és egészségi következményeit, </w:t>
      </w:r>
    </w:p>
    <w:p>
      <w:pPr>
        <w:rPr>
          <w:rFonts w:ascii="Times New Roman" w:hAnsi="Times New Roman" w:cs="Times New Roman"/>
          <w:sz w:val="24"/>
          <w:szCs w:val="24"/>
        </w:rPr>
      </w:pPr>
      <w:r>
        <w:rPr>
          <w:rFonts w:ascii="Times New Roman" w:hAnsi="Times New Roman" w:cs="Times New Roman"/>
          <w:sz w:val="24"/>
          <w:szCs w:val="24"/>
        </w:rPr>
        <w:t xml:space="preserve">ac) adminisztratív terheket befolyásoló hatásait, valamint </w:t>
      </w:r>
    </w:p>
    <w:p>
      <w:pPr>
        <w:rPr>
          <w:rFonts w:ascii="Times New Roman" w:hAnsi="Times New Roman" w:cs="Times New Roman"/>
          <w:sz w:val="24"/>
          <w:szCs w:val="24"/>
        </w:rPr>
      </w:pPr>
      <w:r>
        <w:rPr>
          <w:rFonts w:ascii="Times New Roman" w:hAnsi="Times New Roman" w:cs="Times New Roman"/>
          <w:sz w:val="24"/>
          <w:szCs w:val="24"/>
        </w:rPr>
        <w:t xml:space="preserve">b) a jogszabály megalkotásának szükségességét,a jogalkotás elmaradásának várható következményeit, és </w:t>
      </w:r>
    </w:p>
    <w:p>
      <w:pPr>
        <w:rPr>
          <w:rFonts w:ascii="Times New Roman" w:hAnsi="Times New Roman" w:cs="Times New Roman"/>
          <w:sz w:val="24"/>
          <w:szCs w:val="24"/>
        </w:rPr>
      </w:pPr>
      <w:r>
        <w:rPr>
          <w:rFonts w:ascii="Times New Roman" w:hAnsi="Times New Roman" w:cs="Times New Roman"/>
          <w:sz w:val="24"/>
          <w:szCs w:val="24"/>
        </w:rPr>
        <w:t>c)  a jogszabály alkalmazásához szükséges személyi, szervezeti, tárgyi és pénzügyi feltételeket”.</w:t>
      </w:r>
    </w:p>
    <w:p>
      <w:pPr>
        <w:rPr>
          <w:rFonts w:ascii="Times New Roman" w:hAnsi="Times New Roman" w:cs="Times New Roman"/>
          <w:sz w:val="24"/>
          <w:szCs w:val="24"/>
        </w:rPr>
      </w:pP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p>
    <w:p>
      <w:pPr>
        <w:rPr>
          <w:rFonts w:ascii="Times New Roman" w:hAnsi="Times New Roman" w:cs="Times New Roman"/>
          <w:b/>
          <w:sz w:val="24"/>
          <w:szCs w:val="24"/>
        </w:rPr>
      </w:pPr>
      <w:r>
        <w:rPr>
          <w:rFonts w:ascii="Times New Roman" w:hAnsi="Times New Roman" w:cs="Times New Roman"/>
          <w:b/>
          <w:sz w:val="24"/>
          <w:szCs w:val="24"/>
        </w:rPr>
        <w:t xml:space="preserve">Az önkormányzati rendelet tervezetének címe: </w:t>
      </w:r>
    </w:p>
    <w:p>
      <w:pPr>
        <w:spacing/>
        <w:jc w:val="center"/>
        <w:rPr>
          <w:rFonts w:ascii="Times New Roman" w:hAnsi="Times New Roman" w:cs="Times New Roman"/>
          <w:sz w:val="24"/>
          <w:szCs w:val="24"/>
        </w:rPr>
      </w:pPr>
      <w:r>
        <w:rPr>
          <w:rFonts w:ascii="Times New Roman" w:hAnsi="Times New Roman" w:cs="Times New Roman"/>
          <w:sz w:val="24"/>
          <w:szCs w:val="24"/>
        </w:rPr>
      </w:r>
    </w:p>
    <w:p>
      <w:pPr>
        <w:spacing/>
        <w:jc w:val="center"/>
        <w:rPr>
          <w:rFonts w:ascii="Times New Roman" w:hAnsi="Times New Roman" w:cs="Times New Roman"/>
          <w:sz w:val="24"/>
          <w:szCs w:val="24"/>
        </w:rPr>
      </w:pPr>
      <w:r>
        <w:rPr>
          <w:rFonts w:ascii="Times New Roman" w:hAnsi="Times New Roman" w:cs="Times New Roman"/>
          <w:sz w:val="24"/>
          <w:szCs w:val="24"/>
        </w:rPr>
        <w:t>Csorvás Város Önkormányzata</w:t>
      </w:r>
    </w:p>
    <w:p>
      <w:pPr>
        <w:spacing/>
        <w:jc w:val="center"/>
        <w:rPr>
          <w:rFonts w:ascii="Times New Roman" w:hAnsi="Times New Roman" w:cs="Times New Roman"/>
          <w:sz w:val="24"/>
          <w:szCs w:val="24"/>
        </w:rPr>
      </w:pPr>
      <w:r>
        <w:rPr>
          <w:rFonts w:ascii="Times New Roman" w:hAnsi="Times New Roman" w:cs="Times New Roman"/>
          <w:sz w:val="24"/>
          <w:szCs w:val="24"/>
        </w:rPr>
        <w:t>Képviselő-testületének</w:t>
      </w:r>
    </w:p>
    <w:p>
      <w:pPr>
        <w:spacing/>
        <w:jc w:val="center"/>
        <w:rPr>
          <w:rFonts w:ascii="Times New Roman" w:hAnsi="Times New Roman" w:cs="Times New Roman"/>
          <w:sz w:val="24"/>
          <w:szCs w:val="24"/>
        </w:rPr>
      </w:pPr>
      <w:r>
        <w:rPr>
          <w:rFonts w:ascii="Times New Roman" w:hAnsi="Times New Roman" w:cs="Times New Roman"/>
          <w:sz w:val="24"/>
          <w:szCs w:val="24"/>
        </w:rPr>
        <w:t>……./2018. (…….) számú</w:t>
      </w:r>
    </w:p>
    <w:p>
      <w:pPr>
        <w:spacing/>
        <w:jc w:val="center"/>
        <w:rPr>
          <w:rFonts w:ascii="Times New Roman" w:hAnsi="Times New Roman" w:cs="Times New Roman"/>
          <w:bCs/>
          <w:sz w:val="24"/>
          <w:szCs w:val="24"/>
        </w:rPr>
      </w:pPr>
      <w:r>
        <w:rPr>
          <w:rFonts w:ascii="Times New Roman" w:hAnsi="Times New Roman" w:cs="Times New Roman"/>
          <w:bCs/>
          <w:sz w:val="24"/>
          <w:szCs w:val="24"/>
        </w:rPr>
        <w:t>ö n k o r m á n y z a t i   r e n d e l e t e</w:t>
      </w:r>
    </w:p>
    <w:p>
      <w:pPr>
        <w:spacing/>
        <w:jc w:val="center"/>
        <w:rPr>
          <w:rFonts w:ascii="Times New Roman" w:hAnsi="Times New Roman" w:cs="Times New Roman"/>
          <w:bCs/>
          <w:sz w:val="24"/>
          <w:szCs w:val="24"/>
        </w:rPr>
      </w:pPr>
      <w:r>
        <w:rPr>
          <w:rFonts w:ascii="Times New Roman" w:hAnsi="Times New Roman" w:cs="Times New Roman"/>
          <w:bCs/>
          <w:sz w:val="24"/>
          <w:szCs w:val="24"/>
        </w:rPr>
        <w:t>a településkép védelméről</w:t>
      </w:r>
    </w:p>
    <w:p>
      <w:pPr>
        <w:spacing/>
        <w:jc w:val="center"/>
        <w:rPr>
          <w:rFonts w:ascii="Times New Roman" w:hAnsi="Times New Roman" w:cs="Times New Roman"/>
          <w:sz w:val="24"/>
          <w:szCs w:val="24"/>
        </w:rPr>
      </w:pPr>
      <w:r>
        <w:rPr>
          <w:rFonts w:ascii="Times New Roman" w:hAnsi="Times New Roman" w:cs="Times New Roman"/>
          <w:sz w:val="24"/>
          <w:szCs w:val="24"/>
        </w:rPr>
      </w:r>
    </w:p>
    <w:p>
      <w:pPr>
        <w:rPr>
          <w:rFonts w:ascii="Times New Roman" w:hAnsi="Times New Roman" w:cs="Times New Roman"/>
          <w:b/>
          <w:sz w:val="24"/>
          <w:szCs w:val="24"/>
        </w:rPr>
      </w:pPr>
      <w:r>
        <w:rPr>
          <w:rFonts w:ascii="Times New Roman" w:hAnsi="Times New Roman" w:cs="Times New Roman"/>
          <w:b/>
          <w:sz w:val="24"/>
          <w:szCs w:val="24"/>
        </w:rPr>
        <w:t>A rendelet tervezet valamennyi jelentős hatása, összefoglalva:</w:t>
      </w:r>
    </w:p>
    <w:p>
      <w:pPr>
        <w:spacing/>
        <w:jc w:val="both"/>
        <w:rPr>
          <w:rFonts w:ascii="Times New Roman" w:hAnsi="Times New Roman" w:cs="Times New Roman"/>
          <w:i/>
          <w:iCs/>
          <w:sz w:val="24"/>
          <w:szCs w:val="24"/>
        </w:rPr>
      </w:pPr>
      <w:r>
        <w:rPr>
          <w:rFonts w:ascii="Times New Roman" w:hAnsi="Times New Roman" w:cs="Times New Roman"/>
          <w:sz w:val="24"/>
          <w:szCs w:val="24"/>
        </w:rPr>
        <w:t>Csorvás Város</w:t>
      </w:r>
      <w:r>
        <w:rPr>
          <w:rFonts w:ascii="Times New Roman" w:hAnsi="Times New Roman" w:cs="Times New Roman"/>
          <w:color w:val="000000"/>
          <w:sz w:val="24"/>
          <w:szCs w:val="24"/>
        </w:rPr>
        <w:t xml:space="preserve"> építészeti, településképi, illetve természeti értékeinek védelme és igényes alakítása érdekében, a település történeti múltját, építészeti kultúráját és a polgárainak önbecsülését, identitását elősegítő épületek, épületrészek, építmények, illetve az azok által alkotott utcák, terek, továbbá szobrok lehetőség szerint való megőrzése, valamint minőségi fejlesztése a jövő nemzedékek számára, az építészeti illeszkedéssel és a településfejlesztési célokkal összefüggő követelmények érvényesítése, összességében az épített környezet esztétikus kialakítása. </w:t>
      </w:r>
      <w:r>
        <w:rPr>
          <w:rFonts w:ascii="Times New Roman" w:hAnsi="Times New Roman" w:cs="Times New Roman"/>
          <w:iCs/>
          <w:color w:val="000000"/>
          <w:sz w:val="24"/>
          <w:szCs w:val="24"/>
        </w:rPr>
        <w:t>Célzott hatás továbbá a</w:t>
      </w:r>
      <w:r>
        <w:rPr>
          <w:rFonts w:ascii="Times New Roman" w:hAnsi="Times New Roman" w:cs="Times New Roman"/>
          <w:iCs/>
          <w:sz w:val="24"/>
          <w:szCs w:val="24"/>
        </w:rPr>
        <w:t xml:space="preserve"> város településképének védelme érdekében a település területén elhelyezhető reklám- információs- és hirdető-, valamint reklámhordozásra alkalmas egyéb berendezések számának, formai és technológiai kivitelezésük feltételeinek, továbbá egységes elvek szerint meghatározott rendezett és esztétikus elhelyezésüknek és igényes fenntartásuknak a szabályozása.</w:t>
      </w:r>
      <w:r>
        <w:rPr>
          <w:rFonts w:ascii="Times New Roman" w:hAnsi="Times New Roman" w:cs="Times New Roman"/>
          <w:i/>
          <w:iCs/>
          <w:sz w:val="24"/>
          <w:szCs w:val="24"/>
        </w:rPr>
      </w:r>
    </w:p>
    <w:p>
      <w:pPr>
        <w:spacing/>
        <w:jc w:val="both"/>
        <w:rPr>
          <w:rFonts w:ascii="Times New Roman" w:hAnsi="Times New Roman" w:cs="Times New Roman"/>
          <w:sz w:val="24"/>
          <w:szCs w:val="24"/>
        </w:rPr>
      </w:pPr>
      <w:r>
        <w:rPr>
          <w:rFonts w:ascii="Times New Roman" w:hAnsi="Times New Roman" w:cs="Times New Roman"/>
          <w:b/>
          <w:sz w:val="24"/>
          <w:szCs w:val="24"/>
        </w:rPr>
        <w:t xml:space="preserve">Társadalmi, gazdasági hatása: a </w:t>
      </w:r>
      <w:r>
        <w:rPr>
          <w:rFonts w:ascii="Times New Roman" w:hAnsi="Times New Roman" w:cs="Times New Roman"/>
          <w:sz w:val="24"/>
          <w:szCs w:val="24"/>
        </w:rPr>
        <w:t>teljes körű nyilvánosság biztosításával, helyi polgárok, civil szervezetek, lokálpatrióták, a helyi egyházak képviselőinek bevonásával készült a Településképi Arculati Kézikönyv, amelyhez kapcsolódik az önkormányzati rendelet megalkotása.</w:t>
      </w:r>
    </w:p>
    <w:p>
      <w:pPr>
        <w:spacing/>
        <w:jc w:val="both"/>
        <w:rPr>
          <w:rFonts w:ascii="Times New Roman" w:hAnsi="Times New Roman" w:cs="Times New Roman"/>
          <w:sz w:val="24"/>
          <w:szCs w:val="24"/>
        </w:rPr>
      </w:pPr>
      <w:r>
        <w:rPr>
          <w:rFonts w:ascii="Times New Roman" w:hAnsi="Times New Roman" w:cs="Times New Roman"/>
          <w:sz w:val="24"/>
          <w:szCs w:val="24"/>
        </w:rPr>
        <w:t>A rendelet társadalmi egyeztetése a településfejlesztési koncepcióval, az integrált településfejlesztési stratégiával és a településrendezési eszközök, valamint a Településképi Arculati Kézikönyv és a településképi rendelet-tervezet készítésével, módosításával kapcsolatos partnerségi egyeztetés szabályairól  szóló 11/2017. (VI.15.) önkormányzati rendeletben foglaltaknak megfelelően megtörtént. A lakosság tájékoztatása és észrevételeinek figyelembe vétele biztosított volt.</w:t>
      </w:r>
    </w:p>
    <w:p>
      <w:pPr>
        <w:rPr>
          <w:rFonts w:ascii="Times New Roman" w:hAnsi="Times New Roman" w:cs="Times New Roman"/>
          <w:b/>
          <w:sz w:val="24"/>
          <w:szCs w:val="24"/>
        </w:rPr>
      </w:pPr>
      <w:r>
        <w:rPr>
          <w:rFonts w:ascii="Times New Roman" w:hAnsi="Times New Roman" w:cs="Times New Roman"/>
          <w:b/>
          <w:sz w:val="24"/>
          <w:szCs w:val="24"/>
        </w:rPr>
        <w:t>Az önkormányzati rendeletnek:</w:t>
      </w:r>
    </w:p>
    <w:p>
      <w:pPr>
        <w:rPr>
          <w:rFonts w:ascii="Times New Roman" w:hAnsi="Times New Roman" w:cs="Times New Roman"/>
          <w:b/>
          <w:sz w:val="24"/>
          <w:szCs w:val="24"/>
        </w:rPr>
      </w:pPr>
      <w:r>
        <w:rPr>
          <w:rFonts w:ascii="Times New Roman" w:hAnsi="Times New Roman" w:cs="Times New Roman"/>
          <w:b/>
          <w:sz w:val="24"/>
          <w:szCs w:val="24"/>
        </w:rPr>
        <w:t>1. költségvetési hatása:</w:t>
      </w:r>
    </w:p>
    <w:p>
      <w:pPr>
        <w:ind w:left="57" w:right="43"/>
        <w:spacing w:after="290"/>
        <w:rPr>
          <w:rFonts w:ascii="Times New Roman" w:hAnsi="Times New Roman" w:cs="Times New Roman"/>
          <w:sz w:val="24"/>
          <w:szCs w:val="24"/>
        </w:rPr>
      </w:pPr>
      <w:r>
        <w:rPr>
          <w:rFonts w:ascii="Times New Roman" w:hAnsi="Times New Roman" w:cs="Times New Roman"/>
          <w:sz w:val="24"/>
          <w:szCs w:val="24"/>
        </w:rPr>
        <w:t xml:space="preserve">A rendeletalkotásnak a keletkező kiadások tekintetében költségvetési hatása a főépítész folyamatos, időszakos, illetve eseti alkalmazása, ill. megbízása volt. Fedezetként a központi költségvetésből kapott finanszírozás szolgált. </w:t>
      </w:r>
    </w:p>
    <w:p>
      <w:pPr>
        <w:rPr>
          <w:rFonts w:ascii="Times New Roman" w:hAnsi="Times New Roman" w:cs="Times New Roman"/>
          <w:b/>
          <w:sz w:val="24"/>
          <w:szCs w:val="24"/>
        </w:rPr>
      </w:pPr>
      <w:r>
        <w:rPr>
          <w:rFonts w:ascii="Times New Roman" w:hAnsi="Times New Roman" w:cs="Times New Roman"/>
          <w:b/>
          <w:sz w:val="24"/>
          <w:szCs w:val="24"/>
        </w:rPr>
        <w:t>2. környezeti, egészségügyi következményei:</w:t>
      </w:r>
    </w:p>
    <w:p>
      <w:pPr>
        <w:ind w:right="70"/>
        <w:rPr>
          <w:rFonts w:ascii="Times New Roman" w:hAnsi="Times New Roman" w:cs="Times New Roman"/>
          <w:sz w:val="24"/>
          <w:szCs w:val="24"/>
        </w:rPr>
      </w:pPr>
      <w:r>
        <w:rPr>
          <w:rFonts w:ascii="Times New Roman" w:hAnsi="Times New Roman" w:cs="Times New Roman"/>
          <w:sz w:val="24"/>
          <w:szCs w:val="24"/>
        </w:rPr>
        <w:t xml:space="preserve">A rendelet az épített környezet, mint védendő környezetrész széleskörű szabályozását tartalmazza, így jelentős, pozitív környezeti eredmények várhatóak tőle.  </w:t>
      </w:r>
    </w:p>
    <w:p>
      <w:pPr>
        <w:ind w:right="321"/>
        <w:spacing w:line="252" w:lineRule="auto"/>
        <w:jc w:val="both"/>
        <w:widowControl w:val="0"/>
        <w:rPr>
          <w:rFonts w:ascii="Times New Roman" w:hAnsi="Times New Roman" w:cs="Times New Roman"/>
          <w:sz w:val="24"/>
          <w:szCs w:val="24"/>
        </w:rPr>
      </w:pPr>
      <w:r>
        <w:rPr>
          <w:rFonts w:ascii="Times New Roman" w:hAnsi="Times New Roman" w:cs="Times New Roman"/>
          <w:sz w:val="24"/>
          <w:szCs w:val="24"/>
        </w:rPr>
        <w:t>A rendelet megalkotásától  rendezettebb épített környezeti és tájképi állapotok kialakulása várható.</w:t>
      </w:r>
    </w:p>
    <w:p>
      <w:pPr>
        <w:rPr>
          <w:rFonts w:ascii="Times New Roman" w:hAnsi="Times New Roman" w:cs="Times New Roman"/>
          <w:b/>
          <w:sz w:val="24"/>
          <w:szCs w:val="24"/>
        </w:rPr>
      </w:pPr>
      <w:r>
        <w:rPr>
          <w:rFonts w:ascii="Times New Roman" w:hAnsi="Times New Roman" w:cs="Times New Roman"/>
          <w:b/>
          <w:sz w:val="24"/>
          <w:szCs w:val="24"/>
        </w:rPr>
        <w:t>3. adminisztratív terheket befolyásoló hatása:</w:t>
      </w:r>
    </w:p>
    <w:p>
      <w:pPr>
        <w:ind w:right="321"/>
        <w:spacing w:line="252" w:lineRule="auto"/>
        <w:jc w:val="both"/>
        <w:widowControl w:val="0"/>
        <w:rPr>
          <w:rFonts w:ascii="Times New Roman" w:hAnsi="Times New Roman" w:cs="Times New Roman"/>
          <w:sz w:val="24"/>
          <w:szCs w:val="24"/>
        </w:rPr>
      </w:pPr>
      <w:r>
        <w:rPr>
          <w:rFonts w:ascii="Times New Roman" w:hAnsi="Times New Roman" w:cs="Times New Roman"/>
          <w:sz w:val="24"/>
          <w:szCs w:val="24"/>
        </w:rPr>
        <w:t>A rendelet megalkotása az adminisztratív terhek növekedésével jár, a településképi eljárások lefolytatása miatt. Az ügyforgalom tekintetében bekövetkező változások hatásai a későbbiekben fognak realizálódni. A többletmunkát a rendelkezésre álló személyi állománnyal kell elvégezni. .</w:t>
      </w:r>
    </w:p>
    <w:p>
      <w:pPr>
        <w:rPr>
          <w:rFonts w:ascii="Times New Roman" w:hAnsi="Times New Roman" w:cs="Times New Roman"/>
          <w:b/>
          <w:sz w:val="24"/>
          <w:szCs w:val="24"/>
        </w:rPr>
      </w:pPr>
      <w:r>
        <w:rPr>
          <w:rFonts w:ascii="Times New Roman" w:hAnsi="Times New Roman" w:cs="Times New Roman"/>
          <w:b/>
          <w:sz w:val="24"/>
          <w:szCs w:val="24"/>
        </w:rPr>
        <w:t xml:space="preserve">4. egyéb hatása: </w:t>
      </w:r>
    </w:p>
    <w:p>
      <w:pPr>
        <w:ind w:right="-108"/>
        <w:rPr>
          <w:rFonts w:ascii="Times New Roman" w:hAnsi="Times New Roman" w:cs="Times New Roman"/>
          <w:sz w:val="24"/>
          <w:szCs w:val="24"/>
        </w:rPr>
      </w:pPr>
      <w:r>
        <w:rPr>
          <w:rFonts w:ascii="Times New Roman" w:hAnsi="Times New Roman" w:cs="Times New Roman"/>
          <w:sz w:val="24"/>
          <w:szCs w:val="24"/>
        </w:rPr>
        <w:t>A településkép-érvényesítési eszközök alkalmazásával a  településkép alakítása és védelme.</w:t>
      </w:r>
    </w:p>
    <w:p>
      <w:pPr>
        <w:rPr>
          <w:rFonts w:ascii="Times New Roman" w:hAnsi="Times New Roman" w:cs="Times New Roman"/>
          <w:b/>
          <w:sz w:val="24"/>
          <w:szCs w:val="24"/>
        </w:rPr>
      </w:pPr>
      <w:r>
        <w:rPr>
          <w:rFonts w:ascii="Times New Roman" w:hAnsi="Times New Roman" w:cs="Times New Roman"/>
          <w:b/>
          <w:sz w:val="24"/>
          <w:szCs w:val="24"/>
        </w:rPr>
        <w:t xml:space="preserve">5.  a   rendelet alkalmazásához szükséges személyi-, szervezeti-, tárgyi-, pénzügyi feltételek: </w:t>
      </w:r>
      <w:r>
        <w:rPr>
          <w:rFonts w:ascii="Times New Roman" w:hAnsi="Times New Roman" w:cs="Times New Roman"/>
          <w:sz w:val="24"/>
          <w:szCs w:val="24"/>
        </w:rPr>
        <w:t>Lásd a 3. pontnál a többletmunkával összefüggésben tett megállapítást. Ami meghatározza a rendelet alkalmazásához szükséges többletszervezési, valamint végrehajtói feladatok ellátásának és a mindezek finanszírozására szolgáló pénzügyi feltételek megteremtésének követelményét. (Vezetői és végrehajtói többletmunka).</w:t>
      </w:r>
      <w:r>
        <w:rPr>
          <w:rFonts w:ascii="Times New Roman" w:hAnsi="Times New Roman" w:cs="Times New Roman"/>
          <w:b/>
          <w:sz w:val="24"/>
          <w:szCs w:val="24"/>
        </w:rPr>
      </w:r>
    </w:p>
    <w:p>
      <w:pPr>
        <w:spacing/>
        <w:jc w:val="both"/>
        <w:rPr>
          <w:rFonts w:ascii="Times New Roman" w:hAnsi="Times New Roman" w:cs="Times New Roman"/>
          <w:b/>
          <w:sz w:val="24"/>
          <w:szCs w:val="24"/>
        </w:rPr>
      </w:pPr>
      <w:r>
        <w:rPr>
          <w:rFonts w:ascii="Times New Roman" w:hAnsi="Times New Roman" w:cs="Times New Roman"/>
          <w:b/>
          <w:sz w:val="24"/>
          <w:szCs w:val="24"/>
        </w:rPr>
        <w:t>A rendelet alkotásának szükségességét indokolja:</w:t>
      </w:r>
    </w:p>
    <w:p>
      <w:pPr>
        <w:spacing/>
        <w:jc w:val="both"/>
        <w:rPr>
          <w:rStyle w:val="char1"/>
          <w:rFonts w:ascii="Times New Roman" w:hAnsi="Times New Roman" w:cs="Times New Roman"/>
          <w:sz w:val="24"/>
          <w:szCs w:val="24"/>
        </w:rPr>
      </w:pPr>
      <w:r>
        <w:rPr>
          <w:rFonts w:ascii="Times New Roman" w:hAnsi="Times New Roman" w:cs="Times New Roman"/>
          <w:sz w:val="24"/>
          <w:szCs w:val="24"/>
        </w:rPr>
        <w:t xml:space="preserve">A rendelet megalkotásával a magasabb szintű jogszabályok rendelkezéseinek felelünk meg. A településképi önkormányzati rendelet készítését a településkép védelméről szóló 2016. évi LXXIV. törvény, valamint a </w:t>
      </w:r>
      <w:r>
        <w:rPr>
          <w:rStyle w:val="char1"/>
          <w:rFonts w:ascii="Times New Roman" w:hAnsi="Times New Roman" w:cs="Times New Roman"/>
          <w:bCs/>
          <w:sz w:val="24"/>
          <w:szCs w:val="24"/>
        </w:rPr>
        <w:t>településfejlesztési koncepcióról, az integrált településfejlesztési stratégiáról és a településrendezési eszközökről, valamint egyes településrendezési sajátos jogintézményekről szóló 314/2012. (XI.8.) Korm. rendelet határozza meg, és szabályozza.</w:t>
      </w:r>
      <w:r>
        <w:rPr>
          <w:rStyle w:val="char1"/>
          <w:rFonts w:ascii="Times New Roman" w:hAnsi="Times New Roman" w:cs="Times New Roman"/>
          <w:sz w:val="24"/>
          <w:szCs w:val="24"/>
        </w:rPr>
      </w:r>
    </w:p>
    <w:p>
      <w:pPr>
        <w:spacing/>
        <w:jc w:val="both"/>
        <w:rPr>
          <w:rFonts w:ascii="Times New Roman" w:hAnsi="Times New Roman" w:cs="Times New Roman"/>
          <w:b/>
          <w:sz w:val="24"/>
          <w:szCs w:val="24"/>
        </w:rPr>
      </w:pPr>
      <w:r>
        <w:rPr>
          <w:rFonts w:ascii="Times New Roman" w:hAnsi="Times New Roman" w:cs="Times New Roman"/>
          <w:b/>
          <w:sz w:val="24"/>
          <w:szCs w:val="24"/>
        </w:rPr>
        <w:t xml:space="preserve">Rendelet alkotás elmaradása esetén várható következmények: </w:t>
      </w:r>
    </w:p>
    <w:p>
      <w:pPr>
        <w:spacing/>
        <w:jc w:val="both"/>
        <w:rPr>
          <w:rFonts w:ascii="Times New Roman" w:hAnsi="Times New Roman" w:cs="Times New Roman"/>
          <w:sz w:val="24"/>
          <w:szCs w:val="24"/>
        </w:rPr>
      </w:pPr>
      <w:r>
        <w:rPr>
          <w:rFonts w:ascii="Times New Roman" w:hAnsi="Times New Roman" w:cs="Times New Roman"/>
          <w:sz w:val="24"/>
          <w:szCs w:val="24"/>
        </w:rPr>
        <w:t>Abban az esetben, ha a helyi szabályozás ellentétes a magasabb szintű szabályozással, vagy ha a magasabb szintű szabályozás felhatalmazása ellenére nem rendelkezik az előírt tárgykört illetően, a kormányhivatal jogszabálysértést állapít meg, és törvényességi felügyeleti jogkörében eljárva, törvényességi felhívással élhet.</w:t>
      </w:r>
    </w:p>
    <w:p>
      <w:pPr>
        <w:rPr>
          <w:rFonts w:ascii="Times New Roman" w:hAnsi="Times New Roman" w:cs="Times New Roman"/>
          <w:sz w:val="24"/>
          <w:szCs w:val="24"/>
        </w:rPr>
      </w:pP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p>
    <w:sectPr>
      <w:footnotePr>
        <w:pos w:val="pageBottom"/>
        <w:numFmt w:val="decimal"/>
        <w:numStart w:val="1"/>
        <w:numRestart w:val="continuous"/>
      </w:footnotePr>
      <w:endnotePr>
        <w:pos w:val="docEnd"/>
        <w:numFmt w:val="decimal"/>
        <w:numStart w:val="1"/>
        <w:numRestart w:val="continuous"/>
      </w:endnotePr>
      <w:headerReference w:type="default" r:id="rId15"/>
      <w:footerReference w:type="default" r:id="rId16"/>
      <w:type w:val="nextPage"/>
      <w:pgSz w:h="16838" w:w="11906"/>
      <w:pgMar w:left="1417" w:top="1417" w:right="1417" w:bottom="1417" w:footer="708"/>
      <w:paperSrc w:first="0" w:other="0"/>
      <w:pgNumType w:fmt="decimal"/>
      <w:tmGutter w:val="3"/>
      <w:mirrorMargins w:val="0"/>
      <w:tmSection w:h="-2">
        <w:tmFooter w:id="0" w:h="0" edge="708"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font>
  <w:font w:name="SimSun">
    <w:panose1 w:val="02010600030101010101"/>
    <w:charset w:val="00"/>
    <w:family w:val="auto"/>
    <w:pitch w:val="default"/>
  </w:font>
  <w:font w:name="Arial">
    <w:panose1 w:val="020B0604020202020204"/>
    <w:charset w:val="ee"/>
    <w:family w:val="swiss"/>
    <w:pitch w:val="default"/>
  </w:font>
  <w:font w:name="Symbol">
    <w:panose1 w:val="05050102010706020507"/>
    <w:charset w:val="02"/>
    <w:family w:val="roman"/>
    <w:pitch w:val="default"/>
  </w:font>
  <w:font w:name="Courier New">
    <w:panose1 w:val="02070309020205020404"/>
    <w:charset w:val="ee"/>
    <w:family w:val="modern"/>
    <w:pitch w:val="default"/>
  </w:font>
  <w:font w:name="Wingdings">
    <w:panose1 w:val="05000000000000000000"/>
    <w:charset w:val="02"/>
    <w:family w:val="auto"/>
    <w:pitch w:val="default"/>
  </w:font>
  <w:font w:name="Calibri">
    <w:panose1 w:val="020F0502020204030204"/>
    <w:charset w:val="ee"/>
    <w:family w:val="swiss"/>
    <w:pitch w:val="default"/>
  </w:font>
  <w:font w:name="Segoe UI">
    <w:panose1 w:val="020B0502040204020203"/>
    <w:charset w:val="ee"/>
    <w:family w:val="swiss"/>
    <w:pitch w:val="default"/>
  </w:font>
  <w:font w:name="DejaVu Serif">
    <w:panose1 w:val="02060603050605020204"/>
    <w:charset w:val="ee"/>
    <w:family w:val="roman"/>
    <w:pitch w:val="default"/>
  </w:font>
  <w:font w:name="PD4MLArialMT">
    <w:panose1 w:val="020B0604020202020204"/>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a6"/>
    </w:pPr>
    <w:r>
      <w:rPr>
        <w:noProof/>
      </w:rPr>
      <mc:AlternateContent>
        <mc:Choice Requires="wps">
          <w:drawing>
            <wp:anchor distT="0" distB="0" distL="0" distR="0" simplePos="0" relativeHeight="251659265" behindDoc="0" locked="0" layoutInCell="0" hidden="0" allowOverlap="1">
              <wp:simplePos x="0" y="0"/>
              <wp:positionH relativeFrom="margin">
                <wp:align>center</wp:align>
              </wp:positionH>
              <wp:positionV relativeFrom="paragraph">
                <wp:posOffset>635</wp:posOffset>
              </wp:positionV>
              <wp:extent cx="114300" cy="170815"/>
              <wp:effectExtent l="0" t="0" r="0" b="0"/>
              <wp:wrapSquare wrapText="bothSides"/>
              <wp:docPr id="1025" name="Szövegdoboz2"/>
              <wp:cNvGraphicFramePr/>
              <a:graphic xmlns:a="http://schemas.openxmlformats.org/drawingml/2006/main">
                <a:graphicData uri="http://schemas.microsoft.com/office/word/2010/wordprocessingShape">
                  <wps:wsp>
                    <wps:cNvSpPr txBox="1">
                      <a:extLst>
                        <a:ext uri="smNativeData">
                          <sm:smNativeData xmlns:sm="smNativeData" val="SMDATA_14_zNkHWxMAAAAlAAAAEg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CGLgAAyEEAAAACAAAJAAAABAAAAAAAAAAMAAAAEAAAAAAAAAAAAAAAA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CQ4gAAQAAAAAAAAAACAAAAAQAAAAAAAAAAAAAAAgAAAAEAAAC0AAAADQEAAAAAAADpFgAA+D0AAA=="/>
                        </a:ext>
                      </a:extLst>
                    </wps:cNvSpPr>
                    <wps:spPr>
                      <a:xfrm>
                        <a:off x="0" y="0"/>
                        <a:ext cx="114300" cy="170815"/>
                      </a:xfrm>
                      <a:prstGeom prst="rect">
                        <a:avLst/>
                      </a:prstGeom>
                      <a:noFill/>
                      <a:ln w="12700">
                        <a:noFill/>
                      </a:ln>
                    </wps:spPr>
                    <wps:txbx>
                      <w:txbxContent>
                        <w:p>
                          <w:pPr>
                            <w:pStyle w:val="para6"/>
                            <w:rPr>
                              <w:rStyle w:val="char8"/>
                            </w:rPr>
                          </w:pPr>
                          <w:r>
                            <w:rPr>
                              <w:rStyle w:val="char8"/>
                            </w:rPr>
                          </w:r>
                          <w:r>
                            <w:rPr>
                              <w:rStyle w:val="char8"/>
                            </w:rPr>
                            <w:fldChar w:fldCharType="begin"/>
                            <w:instrText xml:space="preserve"> PAGE </w:instrText>
                            <w:fldChar w:fldCharType="separate"/>
                            <w:t>1</w:t>
                            <w:fldChar w:fldCharType="end"/>
                          </w:r>
                        </w:p>
                      </w:txbxContent>
                    </wps:txbx>
                    <wps:bodyPr spcFirstLastPara="1" vertOverflow="clip" horzOverflow="clip" wrap="none" lIns="0" tIns="0" rIns="0" bIns="0">
                      <a:prstTxWarp prst="textNoShape">
                        <a:avLst/>
                      </a:prstTxWarp>
                      <a:spAutoFit/>
                    </wps:bodyPr>
                  </wps:wsp>
                </a:graphicData>
              </a:graphic>
            </wp:anchor>
          </w:drawing>
        </mc:Choice>
        <mc:Fallback>
          <w:pict>
            <v:shapetype id="_x0000_t202" coordsize="21600,21600" o:spt="202" path="m,l,21600r21600,l21600,xe">
              <v:path gradientshapeok="t" o:connecttype="rect"/>
            </v:shapetype>
            <v:shape id="Szövegdoboz2" o:spid="_x0000_s3073" type="#_x0000_t202" style="position:absolute;mso-position-horizontal:center;margin-top:0.05pt;mso-position-horizontal-relative:margin;width:9.00pt;height:13.45pt;z-index:251659265;mso-wrap-distance-left:0.00pt;mso-wrap-distance-top:0.00pt;mso-wrap-distance-right:0.00pt;mso-wrap-distance-bottom:0.00pt;mso-wrap-style:none" stroked="f" filled="f" v:ext="SMDATA_14_zNkHWxMAAAAlAAAAEg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CGLgAAyEEAAAACAAAJAAAABAAAAAAAAAAMAAAAEAAAAAAAAAAAAAAAA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CQ4gAAQAAAAAAAAAACAAAAAQAAAAAAAAAAAAAAAgAAAAEAAAC0AAAADQEAAAAAAADpFgAA+D0AAA==" o:insetmode="custom">
              <w10:wrap type="square" anchorx="margin" anchory="text"/>
              <v:textbox style="mso-fit-shape-to-text:t" inset="0.0pt,0.0pt,0.0pt,0.0pt">
                <w:txbxContent>
                  <w:p>
                    <w:pPr>
                      <w:pStyle w:val="para6"/>
                      <w:rPr>
                        <w:rStyle w:val="char8"/>
                      </w:rPr>
                    </w:pPr>
                    <w:r>
                      <w:rPr>
                        <w:rStyle w:val="char8"/>
                      </w:rPr>
                    </w:r>
                    <w:r>
                      <w:rPr>
                        <w:rStyle w:val="char8"/>
                      </w:rPr>
                      <w:fldChar w:fldCharType="begin"/>
                      <w:instrText xml:space="preserve"> PAGE </w:instrText>
                      <w:fldChar w:fldCharType="separate"/>
                      <w:t>1</w:t>
                      <w:fldChar w:fldCharType="end"/>
                    </w:r>
                  </w:p>
                </w:txbxContent>
              </v:textbox>
            </v:shape>
          </w:pict>
        </mc:Fallback>
      </mc:AlternateConten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a6"/>
    </w:pPr>
    <w:r>
      <w:rPr>
        <w:noProof/>
      </w:rPr>
      <mc:AlternateContent>
        <mc:Choice Requires="wps">
          <w:drawing>
            <wp:anchor distT="0" distB="0" distL="0" distR="0" simplePos="0" relativeHeight="251659266" behindDoc="0" locked="0" layoutInCell="0" hidden="0" allowOverlap="1">
              <wp:simplePos x="0" y="0"/>
              <wp:positionH relativeFrom="margin">
                <wp:align>center</wp:align>
              </wp:positionH>
              <wp:positionV relativeFrom="paragraph">
                <wp:posOffset>635</wp:posOffset>
              </wp:positionV>
              <wp:extent cx="142240" cy="170815"/>
              <wp:effectExtent l="0" t="0" r="0" b="0"/>
              <wp:wrapSquare wrapText="bothSides"/>
              <wp:docPr id="1026" name="Szövegdoboz3"/>
              <wp:cNvGraphicFramePr/>
              <a:graphic xmlns:a="http://schemas.openxmlformats.org/drawingml/2006/main">
                <a:graphicData uri="http://schemas.microsoft.com/office/word/2010/wordprocessingShape">
                  <wps:wsp>
                    <wps:cNvSpPr txBox="1">
                      <a:extLst>
                        <a:ext uri="smNativeData">
                          <sm:smNativeData xmlns:sm="smNativeData" val="SMDATA_14_zNkHWxMAAAAlAAAAEg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IQQAAhi4AAAACAAAJAAAABAAAAAAAAAAMAAAAEAAAAAAAAAAAAAAAA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CQ4gAAQAAAAAAAAAACAAAAAQAAAAAAAAAAAAAAAgAAAAEAAADgAAAADQEAAAAAAQB0IAAAtioAAA=="/>
                        </a:ext>
                      </a:extLst>
                    </wps:cNvSpPr>
                    <wps:spPr>
                      <a:xfrm>
                        <a:off x="0" y="0"/>
                        <a:ext cx="142240" cy="170815"/>
                      </a:xfrm>
                      <a:prstGeom prst="rect">
                        <a:avLst/>
                      </a:prstGeom>
                      <a:noFill/>
                      <a:ln w="12700">
                        <a:noFill/>
                      </a:ln>
                    </wps:spPr>
                    <wps:txbx>
                      <w:txbxContent>
                        <w:p>
                          <w:pPr>
                            <w:pStyle w:val="para6"/>
                            <w:rPr>
                              <w:rStyle w:val="char8"/>
                            </w:rPr>
                          </w:pPr>
                          <w:r>
                            <w:rPr>
                              <w:rStyle w:val="char8"/>
                            </w:rPr>
                          </w:r>
                          <w:r>
                            <w:rPr>
                              <w:rStyle w:val="char8"/>
                            </w:rPr>
                            <w:fldChar w:fldCharType="begin"/>
                            <w:instrText xml:space="preserve"> PAGE </w:instrText>
                            <w:fldChar w:fldCharType="separate"/>
                            <w:t>26</w:t>
                            <w:fldChar w:fldCharType="end"/>
                          </w:r>
                        </w:p>
                      </w:txbxContent>
                    </wps:txbx>
                    <wps:bodyPr spcFirstLastPara="1" vertOverflow="clip" horzOverflow="clip" wrap="none" lIns="0" tIns="0" rIns="0" bIns="0">
                      <a:prstTxWarp prst="textNoShape">
                        <a:avLst/>
                      </a:prstTxWarp>
                      <a:spAutoFit/>
                    </wps:bodyPr>
                  </wps:wsp>
                </a:graphicData>
              </a:graphic>
            </wp:anchor>
          </w:drawing>
        </mc:Choice>
        <mc:Fallback>
          <w:pict>
            <v:shapetype id="_x0000_t202" coordsize="21600,21600" o:spt="202" path="m,l,21600r21600,l21600,xe">
              <v:path gradientshapeok="t" o:connecttype="rect"/>
            </v:shapetype>
            <v:shape id="Szövegdoboz3" o:spid="_x0000_s5121" type="#_x0000_t202" style="position:absolute;mso-position-horizontal:center;margin-top:0.05pt;mso-position-horizontal-relative:margin;width:11.20pt;height:13.45pt;z-index:251659266;mso-wrap-distance-left:0.00pt;mso-wrap-distance-top:0.00pt;mso-wrap-distance-right:0.00pt;mso-wrap-distance-bottom:0.00pt;mso-wrap-style:none" stroked="f" filled="f" v:ext="SMDATA_14_zNkHWxMAAAAlAAAAEg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IQQAAhi4AAAACAAAJAAAABAAAAAAAAAAMAAAAEAAAAAAAAAAAAAAAA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CQ4gAAQAAAAAAAAAACAAAAAQAAAAAAAAAAAAAAAgAAAAEAAADgAAAADQEAAAAAAQB0IAAAtioAAA==" o:insetmode="custom">
              <w10:wrap type="square" anchorx="margin" anchory="text"/>
              <v:textbox style="mso-fit-shape-to-text:t" inset="0.0pt,0.0pt,0.0pt,0.0pt">
                <w:txbxContent>
                  <w:p>
                    <w:pPr>
                      <w:pStyle w:val="para6"/>
                      <w:rPr>
                        <w:rStyle w:val="char8"/>
                      </w:rPr>
                    </w:pPr>
                    <w:r>
                      <w:rPr>
                        <w:rStyle w:val="char8"/>
                      </w:rPr>
                    </w:r>
                    <w:r>
                      <w:rPr>
                        <w:rStyle w:val="char8"/>
                      </w:rPr>
                      <w:fldChar w:fldCharType="begin"/>
                      <w:instrText xml:space="preserve"> PAGE </w:instrText>
                      <w:fldChar w:fldCharType="separate"/>
                      <w:t>26</w:t>
                      <w:fldChar w:fldCharType="end"/>
                    </w:r>
                  </w:p>
                </w:txbxContent>
              </v:textbox>
            </v:shape>
          </w:pict>
        </mc:Fallback>
      </mc:AlternateContent>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a6"/>
    </w:pPr>
    <w:r>
      <w:rPr>
        <w:noProof/>
      </w:rPr>
      <mc:AlternateContent>
        <mc:Choice Requires="wps">
          <w:drawing>
            <wp:anchor distT="0" distB="0" distL="0" distR="0" simplePos="0" relativeHeight="251659267" behindDoc="0" locked="0" layoutInCell="0" hidden="0" allowOverlap="1">
              <wp:simplePos x="0" y="0"/>
              <wp:positionH relativeFrom="margin">
                <wp:align>center</wp:align>
              </wp:positionH>
              <wp:positionV relativeFrom="paragraph">
                <wp:posOffset>635</wp:posOffset>
              </wp:positionV>
              <wp:extent cx="142240" cy="170815"/>
              <wp:effectExtent l="0" t="0" r="0" b="0"/>
              <wp:wrapSquare wrapText="bothSides"/>
              <wp:docPr id="1027" name="Szövegdoboz4"/>
              <wp:cNvGraphicFramePr/>
              <a:graphic xmlns:a="http://schemas.openxmlformats.org/drawingml/2006/main">
                <a:graphicData uri="http://schemas.microsoft.com/office/word/2010/wordprocessingShape">
                  <wps:wsp>
                    <wps:cNvSpPr txBox="1">
                      <a:extLst>
                        <a:ext uri="smNativeData">
                          <sm:smNativeData xmlns:sm="smNativeData" val="SMDATA_14_zNkHWxMAAAAlAAAAEg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CCLgAAxkEAAAACAAAJAAAABAAAAAAAAAAMAAAAEAAAAAAAAAAAAAAAA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CQ4gAAQAAAAAAAAAACAAAAAQAAAAAAAAAAAAAAAgAAAAEAAADgAAAADQEAAAAAAgDRFgAA9j0AAA=="/>
                        </a:ext>
                      </a:extLst>
                    </wps:cNvSpPr>
                    <wps:spPr>
                      <a:xfrm>
                        <a:off x="0" y="0"/>
                        <a:ext cx="142240" cy="170815"/>
                      </a:xfrm>
                      <a:prstGeom prst="rect">
                        <a:avLst/>
                      </a:prstGeom>
                      <a:noFill/>
                      <a:ln w="12700">
                        <a:noFill/>
                      </a:ln>
                    </wps:spPr>
                    <wps:txbx>
                      <w:txbxContent>
                        <w:p>
                          <w:pPr>
                            <w:pStyle w:val="para6"/>
                            <w:rPr>
                              <w:rStyle w:val="char8"/>
                            </w:rPr>
                          </w:pPr>
                          <w:r>
                            <w:rPr>
                              <w:rStyle w:val="char8"/>
                            </w:rPr>
                          </w:r>
                          <w:r>
                            <w:rPr>
                              <w:rStyle w:val="char8"/>
                            </w:rPr>
                            <w:fldChar w:fldCharType="begin"/>
                            <w:instrText xml:space="preserve"> PAGE </w:instrText>
                            <w:fldChar w:fldCharType="separate"/>
                            <w:t>42</w:t>
                            <w:fldChar w:fldCharType="end"/>
                          </w:r>
                        </w:p>
                      </w:txbxContent>
                    </wps:txbx>
                    <wps:bodyPr spcFirstLastPara="1" vertOverflow="clip" horzOverflow="clip" wrap="none" lIns="0" tIns="0" rIns="0" bIns="0">
                      <a:prstTxWarp prst="textNoShape">
                        <a:avLst/>
                      </a:prstTxWarp>
                      <a:spAutoFit/>
                    </wps:bodyPr>
                  </wps:wsp>
                </a:graphicData>
              </a:graphic>
            </wp:anchor>
          </w:drawing>
        </mc:Choice>
        <mc:Fallback>
          <w:pict>
            <v:shapetype id="_x0000_t202" coordsize="21600,21600" o:spt="202" path="m,l,21600r21600,l21600,xe">
              <v:path gradientshapeok="t" o:connecttype="rect"/>
            </v:shapetype>
            <v:shape id="Szövegdoboz4" o:spid="_x0000_s7169" type="#_x0000_t202" style="position:absolute;mso-position-horizontal:center;margin-top:0.05pt;mso-position-horizontal-relative:margin;width:11.20pt;height:13.45pt;z-index:251659267;mso-wrap-distance-left:0.00pt;mso-wrap-distance-top:0.00pt;mso-wrap-distance-right:0.00pt;mso-wrap-distance-bottom:0.00pt;mso-wrap-style:none" stroked="f" filled="f" v:ext="SMDATA_14_zNkHWxMAAAAlAAAAEg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CCLgAAxkEAAAACAAAJAAAABAAAAAAAAAAMAAAAEAAAAAAAAAAAAAAAA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CQ4gAAQAAAAAAAAAACAAAAAQAAAAAAAAAAAAAAAgAAAAEAAADgAAAADQEAAAAAAgDRFgAA9j0AAA==" o:insetmode="custom">
              <w10:wrap type="square" anchorx="margin" anchory="text"/>
              <v:textbox style="mso-fit-shape-to-text:t" inset="0.0pt,0.0pt,0.0pt,0.0pt">
                <w:txbxContent>
                  <w:p>
                    <w:pPr>
                      <w:pStyle w:val="para6"/>
                      <w:rPr>
                        <w:rStyle w:val="char8"/>
                      </w:rPr>
                    </w:pPr>
                    <w:r>
                      <w:rPr>
                        <w:rStyle w:val="char8"/>
                      </w:rPr>
                    </w:r>
                    <w:r>
                      <w:rPr>
                        <w:rStyle w:val="char8"/>
                      </w:rPr>
                      <w:fldChar w:fldCharType="begin"/>
                      <w:instrText xml:space="preserve"> PAGE </w:instrText>
                      <w:fldChar w:fldCharType="separate"/>
                      <w:t>42</w:t>
                      <w:fldChar w:fldCharType="end"/>
                    </w:r>
                  </w:p>
                </w:txbxContent>
              </v:textbox>
            </v:shape>
          </w:pict>
        </mc:Fallback>
      </mc:AlternateContent>
    </w:r>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NoNumList/>
    <w:lvl w:ilvl="0">
      <w:numFmt w:val="none"/>
      <w:lvlText w:val=""/>
      <w:lvlJc w:val="left"/>
      <w:pPr>
        <w:tabs>
          <w:tab w:val="num" w:pos="360"/>
        </w:tabs>
        <w:ind w:left="360" w:hanging="360"/>
      </w:pPr>
      <w:rPr/>
    </w:lvl>
    <w:lvl w:ilvl="1">
      <w:numFmt w:val="none"/>
      <w:lvlText w:val=""/>
      <w:lvlJc w:val="left"/>
      <w:pPr>
        <w:tabs>
          <w:tab w:val="num" w:pos="360"/>
        </w:tabs>
        <w:ind w:left="360" w:hanging="360"/>
      </w:pPr>
      <w:rPr/>
    </w:lvl>
    <w:lvl w:ilvl="2">
      <w:numFmt w:val="none"/>
      <w:lvlText w:val=""/>
      <w:lvlJc w:val="left"/>
      <w:pPr>
        <w:tabs>
          <w:tab w:val="num" w:pos="360"/>
        </w:tabs>
        <w:ind w:left="360" w:hanging="360"/>
      </w:pPr>
      <w:rPr/>
    </w:lvl>
    <w:lvl w:ilvl="3">
      <w:numFmt w:val="none"/>
      <w:lvlText w:val=""/>
      <w:lvlJc w:val="left"/>
      <w:pPr>
        <w:tabs>
          <w:tab w:val="num" w:pos="360"/>
        </w:tabs>
        <w:ind w:left="360" w:hanging="360"/>
      </w:pPr>
      <w:rPr/>
    </w:lvl>
    <w:lvl w:ilvl="4">
      <w:numFmt w:val="none"/>
      <w:lvlText w:val=""/>
      <w:lvlJc w:val="left"/>
      <w:pPr>
        <w:tabs>
          <w:tab w:val="num" w:pos="360"/>
        </w:tabs>
        <w:ind w:left="360" w:hanging="360"/>
      </w:pPr>
      <w:rPr/>
    </w:lvl>
    <w:lvl w:ilvl="5">
      <w:numFmt w:val="none"/>
      <w:lvlText w:val=""/>
      <w:lvlJc w:val="left"/>
      <w:pPr>
        <w:tabs>
          <w:tab w:val="num" w:pos="360"/>
        </w:tabs>
        <w:ind w:left="360" w:hanging="360"/>
      </w:pPr>
      <w:rPr/>
    </w:lvl>
    <w:lvl w:ilvl="6">
      <w:numFmt w:val="none"/>
      <w:lvlText w:val=""/>
      <w:lvlJc w:val="left"/>
      <w:pPr>
        <w:tabs>
          <w:tab w:val="num" w:pos="360"/>
        </w:tabs>
        <w:ind w:left="360" w:hanging="360"/>
      </w:pPr>
      <w:rPr/>
    </w:lvl>
    <w:lvl w:ilvl="7">
      <w:numFmt w:val="none"/>
      <w:lvlText w:val=""/>
      <w:lvlJc w:val="left"/>
      <w:pPr>
        <w:tabs>
          <w:tab w:val="num" w:pos="360"/>
        </w:tabs>
        <w:ind w:left="360" w:hanging="360"/>
      </w:pPr>
      <w:rPr/>
    </w:lvl>
    <w:lvl w:ilvl="8">
      <w:numFmt w:val="none"/>
      <w:lvlText w:val=""/>
      <w:lvlJc w:val="left"/>
      <w:pPr>
        <w:tabs>
          <w:tab w:val="num" w:pos="360"/>
        </w:tabs>
        <w:ind w:left="360" w:hanging="360"/>
      </w:pPr>
      <w:rPr/>
    </w:lvl>
  </w:abstractNum>
  <w:abstractNum w:abstractNumId="1">
    <w:multiLevelType w:val="hybridMultilevel"/>
    <w:name w:val="Számozott lista 1"/>
    <w:lvl w:ilvl="0">
      <w:start w:val="1"/>
      <w:numFmt w:val="lowerLetter"/>
      <w:suff w:val="tab"/>
      <w:lvlText w:val="%1)"/>
      <w:lvlJc w:val="left"/>
      <w:pPr>
        <w:ind w:left="360" w:hanging="0"/>
      </w:pPr>
      <w:rPr>
        <w:rPr>
          <w:b w:val="0"/>
          <w:i/>
          <w:color w:val="000000"/>
          <w:sz w:val="22"/>
          <w:u w:color="auto" w:val="none"/>
        </w:r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2">
    <w:multiLevelType w:val="hybridMultilevel"/>
    <w:name w:val="Számozott lista 2"/>
    <w:lvl w:ilvl="0">
      <w:start w:val="1"/>
      <w:numFmt w:val="lowerLetter"/>
      <w:suff w:val="tab"/>
      <w:lvlText w:val="%1)"/>
      <w:lvlJc w:val="left"/>
      <w:pPr>
        <w:ind w:left="360" w:hanging="0"/>
      </w:pPr>
      <w:rPr>
        <w:rPr>
          <w:b w:val="0"/>
          <w:i/>
          <w:color w:val="000000"/>
          <w:sz w:val="22"/>
          <w:u w:color="auto" w:val="none"/>
        </w:r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3">
    <w:multiLevelType w:val="hybridMultilevel"/>
    <w:name w:val="Számozott lista 3"/>
    <w:lvl w:ilvl="0">
      <w:start w:val="6"/>
      <w:numFmt w:val="decimal"/>
      <w:suff w:val="tab"/>
      <w:lvlText w:val="(%1)"/>
      <w:lvlJc w:val="left"/>
      <w:pPr>
        <w:ind w:left="2127" w:hanging="0"/>
      </w:pPr>
      <w:rPr/>
    </w:lvl>
    <w:lvl w:ilvl="1">
      <w:start w:val="1"/>
      <w:numFmt w:val="lowerLetter"/>
      <w:suff w:val="tab"/>
      <w:lvlText w:val="%2."/>
      <w:lvlJc w:val="left"/>
      <w:pPr>
        <w:ind w:left="2847" w:hanging="0"/>
      </w:pPr>
      <w:rPr/>
    </w:lvl>
    <w:lvl w:ilvl="2">
      <w:start w:val="1"/>
      <w:numFmt w:val="lowerRoman"/>
      <w:suff w:val="tab"/>
      <w:lvlText w:val="%3."/>
      <w:lvlJc w:val="left"/>
      <w:pPr>
        <w:ind w:left="3747" w:hanging="0"/>
      </w:pPr>
      <w:rPr/>
    </w:lvl>
    <w:lvl w:ilvl="3">
      <w:start w:val="1"/>
      <w:numFmt w:val="decimal"/>
      <w:suff w:val="tab"/>
      <w:lvlText w:val="%4."/>
      <w:lvlJc w:val="left"/>
      <w:pPr>
        <w:ind w:left="4287" w:hanging="0"/>
      </w:pPr>
      <w:rPr/>
    </w:lvl>
    <w:lvl w:ilvl="4">
      <w:start w:val="1"/>
      <w:numFmt w:val="lowerLetter"/>
      <w:suff w:val="tab"/>
      <w:lvlText w:val="%5."/>
      <w:lvlJc w:val="left"/>
      <w:pPr>
        <w:ind w:left="5007" w:hanging="0"/>
      </w:pPr>
      <w:rPr/>
    </w:lvl>
    <w:lvl w:ilvl="5">
      <w:start w:val="1"/>
      <w:numFmt w:val="lowerRoman"/>
      <w:suff w:val="tab"/>
      <w:lvlText w:val="%6."/>
      <w:lvlJc w:val="left"/>
      <w:pPr>
        <w:ind w:left="5907" w:hanging="0"/>
      </w:pPr>
      <w:rPr/>
    </w:lvl>
    <w:lvl w:ilvl="6">
      <w:start w:val="1"/>
      <w:numFmt w:val="decimal"/>
      <w:suff w:val="tab"/>
      <w:lvlText w:val="%7."/>
      <w:lvlJc w:val="left"/>
      <w:pPr>
        <w:ind w:left="6447" w:hanging="0"/>
      </w:pPr>
      <w:rPr/>
    </w:lvl>
    <w:lvl w:ilvl="7">
      <w:start w:val="1"/>
      <w:numFmt w:val="lowerLetter"/>
      <w:suff w:val="tab"/>
      <w:lvlText w:val="%8."/>
      <w:lvlJc w:val="left"/>
      <w:pPr>
        <w:ind w:left="7167" w:hanging="0"/>
      </w:pPr>
      <w:rPr/>
    </w:lvl>
    <w:lvl w:ilvl="8">
      <w:start w:val="1"/>
      <w:numFmt w:val="lowerRoman"/>
      <w:suff w:val="tab"/>
      <w:lvlText w:val="%9."/>
      <w:lvlJc w:val="left"/>
      <w:pPr>
        <w:ind w:left="8067" w:hanging="0"/>
      </w:pPr>
      <w:rPr/>
    </w:lvl>
  </w:abstractNum>
  <w:abstractNum w:abstractNumId="4">
    <w:multiLevelType w:val="hybridMultilevel"/>
    <w:name w:val="Számozott lista 4"/>
    <w:lvl w:ilvl="0">
      <w:start w:val="1"/>
      <w:numFmt w:val="lowerLetter"/>
      <w:suff w:val="tab"/>
      <w:lvlText w:val="%1)"/>
      <w:lvlJc w:val="left"/>
      <w:pPr>
        <w:ind w:left="927" w:hanging="0"/>
      </w:pPr>
      <w:rPr>
        <w:rPr>
          <w:b w:val="0"/>
          <w:i/>
          <w:color w:val="000000"/>
          <w:sz w:val="22"/>
          <w:u w:color="auto" w:val="none"/>
        </w:rPr>
      </w:rPr>
    </w:lvl>
    <w:lvl w:ilvl="1">
      <w:start w:val="1"/>
      <w:numFmt w:val="lowerLetter"/>
      <w:suff w:val="tab"/>
      <w:lvlText w:val="%2."/>
      <w:lvlJc w:val="left"/>
      <w:pPr>
        <w:ind w:left="1647" w:hanging="0"/>
      </w:pPr>
      <w:rPr/>
    </w:lvl>
    <w:lvl w:ilvl="2">
      <w:start w:val="1"/>
      <w:numFmt w:val="lowerRoman"/>
      <w:suff w:val="tab"/>
      <w:lvlText w:val="%3."/>
      <w:lvlJc w:val="left"/>
      <w:pPr>
        <w:ind w:left="2547" w:hanging="0"/>
      </w:pPr>
      <w:rPr/>
    </w:lvl>
    <w:lvl w:ilvl="3">
      <w:start w:val="1"/>
      <w:numFmt w:val="decimal"/>
      <w:suff w:val="tab"/>
      <w:lvlText w:val="%4."/>
      <w:lvlJc w:val="left"/>
      <w:pPr>
        <w:ind w:left="3087" w:hanging="0"/>
      </w:pPr>
      <w:rPr/>
    </w:lvl>
    <w:lvl w:ilvl="4">
      <w:start w:val="1"/>
      <w:numFmt w:val="lowerLetter"/>
      <w:suff w:val="tab"/>
      <w:lvlText w:val="%5."/>
      <w:lvlJc w:val="left"/>
      <w:pPr>
        <w:ind w:left="3807" w:hanging="0"/>
      </w:pPr>
      <w:rPr/>
    </w:lvl>
    <w:lvl w:ilvl="5">
      <w:start w:val="1"/>
      <w:numFmt w:val="lowerRoman"/>
      <w:suff w:val="tab"/>
      <w:lvlText w:val="%6."/>
      <w:lvlJc w:val="left"/>
      <w:pPr>
        <w:ind w:left="4707" w:hanging="0"/>
      </w:pPr>
      <w:rPr/>
    </w:lvl>
    <w:lvl w:ilvl="6">
      <w:start w:val="1"/>
      <w:numFmt w:val="decimal"/>
      <w:suff w:val="tab"/>
      <w:lvlText w:val="%7."/>
      <w:lvlJc w:val="left"/>
      <w:pPr>
        <w:ind w:left="5247" w:hanging="0"/>
      </w:pPr>
      <w:rPr/>
    </w:lvl>
    <w:lvl w:ilvl="7">
      <w:start w:val="1"/>
      <w:numFmt w:val="lowerLetter"/>
      <w:suff w:val="tab"/>
      <w:lvlText w:val="%8."/>
      <w:lvlJc w:val="left"/>
      <w:pPr>
        <w:ind w:left="5967" w:hanging="0"/>
      </w:pPr>
      <w:rPr/>
    </w:lvl>
    <w:lvl w:ilvl="8">
      <w:start w:val="1"/>
      <w:numFmt w:val="lowerRoman"/>
      <w:suff w:val="tab"/>
      <w:lvlText w:val="%9."/>
      <w:lvlJc w:val="left"/>
      <w:pPr>
        <w:ind w:left="6867" w:hanging="0"/>
      </w:pPr>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08"/>
  <w:autoHyphenation w:val="0"/>
  <w:doNotShadeFormData w:val="0"/>
  <w:captions>
    <w:caption w:name="Táblázat" w:pos="below" w:numFmt="decimal"/>
    <w:caption w:name="Ábra" w:pos="below" w:numFmt="decimal"/>
    <w:caption w:name="Kép"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shapeDefaults>
    <o:shapedefaults v:ext="edit" spidmax="7170"/>
    <o:shapelayout v:ext="edit">
      <o:rules v:ext="edit"/>
    </o:shapelayout>
  </w:shapeDefaults>
  <w:tmPrefOne w:val="17"/>
  <w:tmPrefTwo w:val="1"/>
  <w:tmFmtPref w:val="189283691"/>
  <w:tmCommentsPr>
    <w:tmCommentsPlace w:val="0"/>
    <w:tmCommentsWidth w:val="3119"/>
    <w:tmCommentsColor w:val="-1"/>
  </w:tmCommentsPr>
  <w:tmReviewPr>
    <w:tmReviewEnabled w:val="0"/>
    <w:tmReviewShow w:val="1"/>
    <w:tmReviewPrint w:val="1"/>
    <w:tmRevisionNum w:val="3"/>
    <w:tmReviewMarkIns w:val="4"/>
    <w:tmReviewColorIns w:val="-1"/>
    <w:tmReviewMarkDel w:val="6"/>
    <w:tmReviewColorDel w:val="-1"/>
    <w:tmReviewMarkFmt w:val="1"/>
    <w:tmReviewColorFmt w:val="-1"/>
    <w:tmReviewMarkLn w:val="1"/>
    <w:tmReviewColorLn w:val="0"/>
    <w:tmReviewToolTip w:val="1"/>
  </w:tmReviewPr>
  <w:tmLastPos>
    <w:tmLastPosPage w:val="45"/>
    <w:tmLastPosSelect w:val="0"/>
    <w:tmLastPosFrameIdx w:val="0"/>
    <w:tmLastPosCaret>
      <w:tmLastPosPgfIdx w:val="847"/>
      <w:tmLastPosIdx w:val="0"/>
    </w:tmLastPosCaret>
    <w:tmLastPosAnchor>
      <w:tmLastPosPgfIdx w:val="0"/>
      <w:tmLastPosIdx w:val="0"/>
    </w:tmLastPosAnchor>
    <w:tmLastPosTblRect w:left="0" w:top="0" w:right="0" w:bottom="0"/>
  </w:tmLastPos>
  <w:tmAppRevision w:date="1527241164" w:val="931" w:fileVer="341" w:fileVerOS="4"/>
  <w:guidesAndGrid showGuides="1" lockGuides="0" snapToGuides="1" snapToPageMargins="0"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Times New Roman" w:cs="Times New Roman"/>
        <w:sz w:val="20"/>
        <w:szCs w:val="20"/>
        <w:noProof w:val="1"/>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atentStyles>
  <w:style w:type="paragraph" w:styleId="para0" w:default="1">
    <w:name w:val="Normal"/>
    <w:qFormat/>
    <w:pPr>
      <w:spacing w:after="160" w:line="259"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Calibri" w:hAnsi="Calibri" w:cs="Calibri"/>
      <w:sz w:val="22"/>
      <w:szCs w:val="22"/>
      <w:lang w:val="hu-hu" w:eastAsia="en-us" w:bidi="ar-sa"/>
    </w:rPr>
  </w:style>
  <w:style w:type="paragraph" w:styleId="para1" w:customStyle="1">
    <w:name w:val="cf0 agj"/>
    <w:qFormat/>
    <w:basedOn w:val="para0"/>
    <w:pPr>
      <w:spacing w:before="100" w:after="100" w:beforeAutospacing="1" w:afterAutospacing="1" w:line="240" w:lineRule="auto"/>
    </w:pPr>
    <w:rPr>
      <w:rFonts w:ascii="Times New Roman" w:hAnsi="Times New Roman" w:cs="Times New Roman"/>
      <w:sz w:val="24"/>
      <w:szCs w:val="24"/>
      <w:lang w:eastAsia="hu-hu"/>
    </w:rPr>
  </w:style>
  <w:style w:type="paragraph" w:styleId="para2">
    <w:name w:val="Normal (Web)"/>
    <w:qFormat/>
    <w:basedOn w:val="para0"/>
    <w:pPr>
      <w:spacing w:before="280" w:after="119" w:line="240" w:lineRule="auto"/>
      <w:suppressAutoHyphens/>
      <w:hyphenationLines w:val="0"/>
    </w:pPr>
    <w:rPr>
      <w:rFonts w:ascii="Times New Roman" w:hAnsi="Times New Roman" w:cs="Times New Roman"/>
      <w:sz w:val="24"/>
      <w:szCs w:val="24"/>
      <w:lang w:eastAsia="zh-cn"/>
    </w:rPr>
  </w:style>
  <w:style w:type="paragraph" w:styleId="para3">
    <w:name w:val="Balloon Text"/>
    <w:qFormat/>
    <w:basedOn w:val="para0"/>
    <w:pPr>
      <w:spacing w:after="0" w:line="240" w:lineRule="auto"/>
    </w:pPr>
    <w:rPr>
      <w:rFonts w:ascii="Segoe UI" w:hAnsi="Segoe UI" w:cs="Segoe UI"/>
      <w:sz w:val="18"/>
      <w:szCs w:val="18"/>
    </w:rPr>
  </w:style>
  <w:style w:type="paragraph" w:styleId="para4">
    <w:name w:val="List Paragraph"/>
    <w:qFormat/>
    <w:basedOn w:val="para0"/>
    <w:pPr>
      <w:ind w:left="720"/>
    </w:pPr>
  </w:style>
  <w:style w:type="paragraph" w:styleId="para5">
    <w:name w:val="Header"/>
    <w:qFormat/>
    <w:basedOn w:val="para0"/>
    <w:pPr>
      <w:spacing w:after="0" w:line="240" w:lineRule="auto"/>
      <w:tabs>
        <w:tab w:val="center" w:pos="4536" w:leader="none"/>
        <w:tab w:val="right" w:pos="9072" w:leader="none"/>
      </w:tabs>
    </w:pPr>
    <w:rPr>
      <w:rFonts w:ascii="Times New Roman" w:hAnsi="Times New Roman" w:eastAsia="Calibri" w:cs="Times New Roman"/>
      <w:sz w:val="24"/>
      <w:szCs w:val="24"/>
      <w:lang w:eastAsia="hu-hu"/>
    </w:rPr>
  </w:style>
  <w:style w:type="paragraph" w:styleId="para6">
    <w:name w:val="Footer"/>
    <w:qFormat/>
    <w:basedOn w:val="para0"/>
    <w:pPr>
      <w:spacing w:after="0" w:line="240" w:lineRule="auto"/>
      <w:tabs>
        <w:tab w:val="center" w:pos="4536" w:leader="none"/>
        <w:tab w:val="right" w:pos="9072" w:leader="none"/>
      </w:tabs>
    </w:pPr>
  </w:style>
  <w:style w:type="paragraph" w:styleId="para7" w:customStyle="1">
    <w:name w:val="Table Paragraph"/>
    <w:qFormat/>
    <w:basedOn w:val="para0"/>
    <w:pPr>
      <w:ind w:left="103"/>
      <w:spacing w:after="0" w:line="265" w:lineRule="exact"/>
      <w:widowControl w:val="0"/>
    </w:pPr>
    <w:rPr>
      <w:lang w:val="en-us"/>
    </w:rPr>
  </w:style>
  <w:style w:type="paragraph" w:styleId="para8" w:customStyle="1">
    <w:name w:val="xl75"/>
    <w:qFormat/>
    <w:basedOn w:val="para0"/>
    <w:pPr>
      <w:spacing w:before="100" w:after="100" w:beforeAutospacing="1" w:afterAutospacing="1" w:line="240" w:lineRule="auto"/>
      <w:jc w:val="center"/>
      <w:pBdr>
        <w:top w:val="single" w:sz="4" w:space="0" w:color="7F7F7F" tmln="10, 20, 20, 0, 0"/>
        <w:left w:val="single" w:sz="4" w:space="0" w:color="7F7F7F" tmln="10, 20, 20, 0, 0"/>
        <w:bottom w:val="nil" w:sz="0" w:space="0" w:color="000000" tmln="20, 20, 20, 0, 0"/>
        <w:right w:val="single" w:sz="4" w:space="0" w:color="7F7F7F" tmln="10, 20, 20, 0, 0"/>
        <w:between w:val="nil" w:sz="0" w:space="0" w:color="000000" tmln="20, 20, 20, 0, 0"/>
      </w:pBdr>
      <w:shd w:val="none"/>
    </w:pPr>
    <w:rPr>
      <w:sz w:val="24"/>
      <w:szCs w:val="24"/>
      <w:lang w:eastAsia="hu-hu"/>
    </w:rPr>
  </w:style>
  <w:style w:type="paragraph" w:styleId="para9">
    <w:name w:val="Footnote Text"/>
    <w:qFormat/>
    <w:basedOn w:val="para0"/>
    <w:pPr>
      <w:spacing w:after="0" w:line="240" w:lineRule="auto"/>
    </w:pPr>
    <w:rPr>
      <w:sz w:val="20"/>
      <w:szCs w:val="20"/>
      <w:lang w:eastAsia="hu-hu"/>
    </w:rPr>
  </w:style>
  <w:style w:type="character" w:styleId="char0" w:default="1">
    <w:name w:val="Default Paragraph Font"/>
    <w:basedOn w:val="char0"/>
  </w:style>
  <w:style w:type="character" w:styleId="char1" w:customStyle="1">
    <w:name w:val="desc"/>
  </w:style>
  <w:style w:type="character" w:styleId="char2">
    <w:name w:val="Hyperlink"/>
    <w:rPr>
      <w:color w:val="auto"/>
      <w:u w:color="auto" w:val="single"/>
    </w:rPr>
  </w:style>
  <w:style w:type="character" w:styleId="char3">
    <w:name w:val="Strong"/>
    <w:rPr>
      <w:rFonts w:cs="Times New Roman"/>
      <w:b/>
      <w:bCs/>
    </w:rPr>
  </w:style>
  <w:style w:type="character" w:styleId="char4">
    <w:name w:val="Emphasis"/>
    <w:rPr>
      <w:rFonts w:cs="Times New Roman"/>
      <w:i/>
      <w:iCs/>
    </w:rPr>
  </w:style>
  <w:style w:type="character" w:styleId="char5" w:customStyle="1">
    <w:name w:val="Balloon Text Char"/>
    <w:rPr>
      <w:rFonts w:ascii="Segoe UI" w:hAnsi="Segoe UI" w:cs="Segoe UI"/>
      <w:sz w:val="18"/>
      <w:szCs w:val="18"/>
      <w:lang w:val="hu-hu" w:eastAsia="en-us" w:bidi="ar-sa"/>
    </w:rPr>
  </w:style>
  <w:style w:type="character" w:styleId="char6" w:customStyle="1">
    <w:name w:val="Header Char"/>
    <w:rPr>
      <w:rFonts w:eastAsia="Calibri"/>
      <w:sz w:val="24"/>
      <w:szCs w:val="24"/>
      <w:lang w:val="hu-hu" w:eastAsia="hu-hu" w:bidi="ar-sa"/>
    </w:rPr>
  </w:style>
  <w:style w:type="character" w:styleId="char7" w:customStyle="1">
    <w:name w:val="Footer Char"/>
    <w:rPr>
      <w:rFonts w:ascii="Calibri" w:hAnsi="Calibri" w:cs="Calibri"/>
      <w:sz w:val="22"/>
      <w:szCs w:val="22"/>
      <w:lang w:val="hu-hu" w:eastAsia="en-us" w:bidi="ar-sa"/>
    </w:rPr>
  </w:style>
  <w:style w:type="character" w:styleId="char8">
    <w:name w:val="Page Number"/>
    <w:rPr>
      <w:rFonts w:cs="Times New Roman"/>
    </w:rPr>
  </w:style>
  <w:style w:type="character" w:styleId="char9" w:customStyle="1">
    <w:name w:val="Footnote Text Char"/>
    <w:rPr>
      <w:rFonts w:ascii="Calibri" w:hAnsi="Calibri" w:cs="Calibri"/>
      <w:lang w:val="hu-hu" w:eastAsia="hu-h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hAnsi="Times New Roman" w:eastAsia="Times New Roman" w:cs="Times New Roman"/>
        <w:sz w:val="20"/>
        <w:szCs w:val="20"/>
        <w:noProof w:val="1"/>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atentStyles>
  <w:style w:type="paragraph" w:styleId="para0" w:default="1">
    <w:name w:val="Normal"/>
    <w:qFormat/>
    <w:pPr>
      <w:spacing w:after="160" w:line="259"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Calibri" w:hAnsi="Calibri" w:cs="Calibri"/>
      <w:sz w:val="22"/>
      <w:szCs w:val="22"/>
      <w:lang w:val="hu-hu" w:eastAsia="en-us" w:bidi="ar-sa"/>
    </w:rPr>
  </w:style>
  <w:style w:type="paragraph" w:styleId="para1" w:customStyle="1">
    <w:name w:val="cf0 agj"/>
    <w:qFormat/>
    <w:basedOn w:val="para0"/>
    <w:pPr>
      <w:spacing w:before="100" w:after="100" w:beforeAutospacing="1" w:afterAutospacing="1" w:line="240" w:lineRule="auto"/>
    </w:pPr>
    <w:rPr>
      <w:rFonts w:ascii="Times New Roman" w:hAnsi="Times New Roman" w:cs="Times New Roman"/>
      <w:sz w:val="24"/>
      <w:szCs w:val="24"/>
      <w:lang w:eastAsia="hu-hu"/>
    </w:rPr>
  </w:style>
  <w:style w:type="paragraph" w:styleId="para2">
    <w:name w:val="Normal (Web)"/>
    <w:qFormat/>
    <w:basedOn w:val="para0"/>
    <w:pPr>
      <w:spacing w:before="280" w:after="119" w:line="240" w:lineRule="auto"/>
      <w:suppressAutoHyphens/>
      <w:hyphenationLines w:val="0"/>
    </w:pPr>
    <w:rPr>
      <w:rFonts w:ascii="Times New Roman" w:hAnsi="Times New Roman" w:cs="Times New Roman"/>
      <w:sz w:val="24"/>
      <w:szCs w:val="24"/>
      <w:lang w:eastAsia="zh-cn"/>
    </w:rPr>
  </w:style>
  <w:style w:type="paragraph" w:styleId="para3">
    <w:name w:val="Balloon Text"/>
    <w:qFormat/>
    <w:basedOn w:val="para0"/>
    <w:pPr>
      <w:spacing w:after="0" w:line="240" w:lineRule="auto"/>
    </w:pPr>
    <w:rPr>
      <w:rFonts w:ascii="Segoe UI" w:hAnsi="Segoe UI" w:cs="Segoe UI"/>
      <w:sz w:val="18"/>
      <w:szCs w:val="18"/>
    </w:rPr>
  </w:style>
  <w:style w:type="paragraph" w:styleId="para4">
    <w:name w:val="List Paragraph"/>
    <w:qFormat/>
    <w:basedOn w:val="para0"/>
    <w:pPr>
      <w:ind w:left="720"/>
    </w:pPr>
  </w:style>
  <w:style w:type="paragraph" w:styleId="para5">
    <w:name w:val="Header"/>
    <w:qFormat/>
    <w:basedOn w:val="para0"/>
    <w:pPr>
      <w:spacing w:after="0" w:line="240" w:lineRule="auto"/>
      <w:tabs>
        <w:tab w:val="center" w:pos="4536" w:leader="none"/>
        <w:tab w:val="right" w:pos="9072" w:leader="none"/>
      </w:tabs>
    </w:pPr>
    <w:rPr>
      <w:rFonts w:ascii="Times New Roman" w:hAnsi="Times New Roman" w:eastAsia="Calibri" w:cs="Times New Roman"/>
      <w:sz w:val="24"/>
      <w:szCs w:val="24"/>
      <w:lang w:eastAsia="hu-hu"/>
    </w:rPr>
  </w:style>
  <w:style w:type="paragraph" w:styleId="para6">
    <w:name w:val="Footer"/>
    <w:qFormat/>
    <w:basedOn w:val="para0"/>
    <w:pPr>
      <w:spacing w:after="0" w:line="240" w:lineRule="auto"/>
      <w:tabs>
        <w:tab w:val="center" w:pos="4536" w:leader="none"/>
        <w:tab w:val="right" w:pos="9072" w:leader="none"/>
      </w:tabs>
    </w:pPr>
  </w:style>
  <w:style w:type="paragraph" w:styleId="para7" w:customStyle="1">
    <w:name w:val="Table Paragraph"/>
    <w:qFormat/>
    <w:basedOn w:val="para0"/>
    <w:pPr>
      <w:ind w:left="103"/>
      <w:spacing w:after="0" w:line="265" w:lineRule="exact"/>
      <w:widowControl w:val="0"/>
    </w:pPr>
    <w:rPr>
      <w:lang w:val="en-us"/>
    </w:rPr>
  </w:style>
  <w:style w:type="paragraph" w:styleId="para8" w:customStyle="1">
    <w:name w:val="xl75"/>
    <w:qFormat/>
    <w:basedOn w:val="para0"/>
    <w:pPr>
      <w:spacing w:before="100" w:after="100" w:beforeAutospacing="1" w:afterAutospacing="1" w:line="240" w:lineRule="auto"/>
      <w:jc w:val="center"/>
      <w:pBdr>
        <w:top w:val="single" w:sz="4" w:space="0" w:color="7F7F7F" tmln="10, 20, 20, 0, 0"/>
        <w:left w:val="single" w:sz="4" w:space="0" w:color="7F7F7F" tmln="10, 20, 20, 0, 0"/>
        <w:bottom w:val="nil" w:sz="0" w:space="0" w:color="000000" tmln="20, 20, 20, 0, 0"/>
        <w:right w:val="single" w:sz="4" w:space="0" w:color="7F7F7F" tmln="10, 20, 20, 0, 0"/>
        <w:between w:val="nil" w:sz="0" w:space="0" w:color="000000" tmln="20, 20, 20, 0, 0"/>
      </w:pBdr>
      <w:shd w:val="none"/>
    </w:pPr>
    <w:rPr>
      <w:sz w:val="24"/>
      <w:szCs w:val="24"/>
      <w:lang w:eastAsia="hu-hu"/>
    </w:rPr>
  </w:style>
  <w:style w:type="paragraph" w:styleId="para9">
    <w:name w:val="Footnote Text"/>
    <w:qFormat/>
    <w:basedOn w:val="para0"/>
    <w:pPr>
      <w:spacing w:after="0" w:line="240" w:lineRule="auto"/>
    </w:pPr>
    <w:rPr>
      <w:sz w:val="20"/>
      <w:szCs w:val="20"/>
      <w:lang w:eastAsia="hu-hu"/>
    </w:rPr>
  </w:style>
  <w:style w:type="character" w:styleId="char0" w:default="1">
    <w:name w:val="Default Paragraph Font"/>
    <w:basedOn w:val="char0"/>
  </w:style>
  <w:style w:type="character" w:styleId="char1" w:customStyle="1">
    <w:name w:val="desc"/>
  </w:style>
  <w:style w:type="character" w:styleId="char2">
    <w:name w:val="Hyperlink"/>
    <w:rPr>
      <w:color w:val="auto"/>
      <w:u w:color="auto" w:val="single"/>
    </w:rPr>
  </w:style>
  <w:style w:type="character" w:styleId="char3">
    <w:name w:val="Strong"/>
    <w:rPr>
      <w:rFonts w:cs="Times New Roman"/>
      <w:b/>
      <w:bCs/>
    </w:rPr>
  </w:style>
  <w:style w:type="character" w:styleId="char4">
    <w:name w:val="Emphasis"/>
    <w:rPr>
      <w:rFonts w:cs="Times New Roman"/>
      <w:i/>
      <w:iCs/>
    </w:rPr>
  </w:style>
  <w:style w:type="character" w:styleId="char5" w:customStyle="1">
    <w:name w:val="Balloon Text Char"/>
    <w:rPr>
      <w:rFonts w:ascii="Segoe UI" w:hAnsi="Segoe UI" w:cs="Segoe UI"/>
      <w:sz w:val="18"/>
      <w:szCs w:val="18"/>
      <w:lang w:val="hu-hu" w:eastAsia="en-us" w:bidi="ar-sa"/>
    </w:rPr>
  </w:style>
  <w:style w:type="character" w:styleId="char6" w:customStyle="1">
    <w:name w:val="Header Char"/>
    <w:rPr>
      <w:rFonts w:eastAsia="Calibri"/>
      <w:sz w:val="24"/>
      <w:szCs w:val="24"/>
      <w:lang w:val="hu-hu" w:eastAsia="hu-hu" w:bidi="ar-sa"/>
    </w:rPr>
  </w:style>
  <w:style w:type="character" w:styleId="char7" w:customStyle="1">
    <w:name w:val="Footer Char"/>
    <w:rPr>
      <w:rFonts w:ascii="Calibri" w:hAnsi="Calibri" w:cs="Calibri"/>
      <w:sz w:val="22"/>
      <w:szCs w:val="22"/>
      <w:lang w:val="hu-hu" w:eastAsia="en-us" w:bidi="ar-sa"/>
    </w:rPr>
  </w:style>
  <w:style w:type="character" w:styleId="char8">
    <w:name w:val="Page Number"/>
    <w:rPr>
      <w:rFonts w:cs="Times New Roman"/>
    </w:rPr>
  </w:style>
  <w:style w:type="character" w:styleId="char9" w:customStyle="1">
    <w:name w:val="Footnote Text Char"/>
    <w:rPr>
      <w:rFonts w:ascii="Calibri" w:hAnsi="Calibri" w:cs="Calibri"/>
      <w:lang w:val="hu-hu" w:eastAsia="hu-h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image" Target="media/image3.jpeg"/><Relationship Id="rId15" Type="http://schemas.openxmlformats.org/officeDocument/2006/relationships/header" Target="header3.xml"/><Relationship Id="rId16"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Times New Roman"/>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TextMaker free rev.931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Csorvás Város Polgármesterétől</dc:title>
  <dc:subject/>
  <dc:creator>Samuné</dc:creator>
  <cp:keywords/>
  <dc:description/>
  <cp:lastModifiedBy/>
  <cp:revision>3</cp:revision>
  <cp:lastPrinted>2018-05-23T08:44:00Z</cp:lastPrinted>
  <dcterms:created xsi:type="dcterms:W3CDTF">2018-05-25T09:25:00Z</dcterms:created>
  <dcterms:modified xsi:type="dcterms:W3CDTF">2018-05-25T09:39:24Z</dcterms:modified>
</cp:coreProperties>
</file>